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EE26" w14:textId="6FBB7720" w:rsidR="00DD40ED" w:rsidRPr="0064407C" w:rsidRDefault="00DD40ED" w:rsidP="003C4D77">
      <w:pPr>
        <w:spacing w:line="259" w:lineRule="auto"/>
        <w:jc w:val="right"/>
        <w:rPr>
          <w:rFonts w:eastAsia="MS Gothic"/>
          <w:b/>
          <w:bCs/>
          <w:color w:val="2B3583"/>
          <w:sz w:val="40"/>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92"/>
      </w:tblGrid>
      <w:tr w:rsidR="00510A39" w:rsidRPr="00C9434D" w14:paraId="643F34D1" w14:textId="77777777" w:rsidTr="00D0208E">
        <w:trPr>
          <w:trHeight w:val="1701"/>
        </w:trPr>
        <w:tc>
          <w:tcPr>
            <w:tcW w:w="2943" w:type="dxa"/>
            <w:tcBorders>
              <w:top w:val="nil"/>
              <w:left w:val="nil"/>
              <w:bottom w:val="nil"/>
            </w:tcBorders>
            <w:vAlign w:val="center"/>
          </w:tcPr>
          <w:p w14:paraId="314F67E2" w14:textId="77777777" w:rsidR="00510A39" w:rsidRPr="00C9434D" w:rsidRDefault="00510A39" w:rsidP="00D0208E">
            <w:pPr>
              <w:pStyle w:val="Titre1"/>
              <w:rPr>
                <w:rFonts w:ascii="Calibri" w:hAnsi="Calibri" w:cs="Calibri"/>
                <w:sz w:val="22"/>
                <w:szCs w:val="22"/>
              </w:rPr>
            </w:pPr>
            <w:r w:rsidRPr="00C9434D">
              <w:rPr>
                <w:rFonts w:ascii="Calibri" w:hAnsi="Calibri" w:cs="Calibri"/>
                <w:sz w:val="22"/>
                <w:szCs w:val="22"/>
              </w:rPr>
              <w:t>Logo Collectivité</w:t>
            </w:r>
          </w:p>
        </w:tc>
        <w:tc>
          <w:tcPr>
            <w:tcW w:w="6292" w:type="dxa"/>
            <w:vAlign w:val="center"/>
          </w:tcPr>
          <w:p w14:paraId="15D695D8" w14:textId="40201AA7" w:rsidR="0080604F" w:rsidRPr="00510A39" w:rsidRDefault="00510A39" w:rsidP="001C4565">
            <w:pPr>
              <w:pStyle w:val="Corpsdetexte"/>
              <w:tabs>
                <w:tab w:val="left" w:pos="4536"/>
              </w:tabs>
              <w:spacing w:after="0"/>
              <w:jc w:val="center"/>
              <w:rPr>
                <w:rFonts w:eastAsia="MS Gothic"/>
                <w:b/>
                <w:bCs/>
                <w:color w:val="2B3583"/>
                <w:sz w:val="24"/>
              </w:rPr>
            </w:pPr>
            <w:r w:rsidRPr="00510A39">
              <w:rPr>
                <w:rFonts w:eastAsia="MS Gothic"/>
                <w:b/>
                <w:bCs/>
                <w:color w:val="2B3583"/>
                <w:sz w:val="24"/>
              </w:rPr>
              <w:t>DÉLIBÉRATION P</w:t>
            </w:r>
            <w:r w:rsidR="000352C1">
              <w:rPr>
                <w:rFonts w:eastAsia="MS Gothic"/>
                <w:b/>
                <w:bCs/>
                <w:color w:val="2B3583"/>
                <w:sz w:val="24"/>
              </w:rPr>
              <w:t>RÉVOYANT LA MISE EN O</w:t>
            </w:r>
            <w:r w:rsidR="001C4565">
              <w:rPr>
                <w:rFonts w:eastAsia="MS Gothic"/>
                <w:b/>
                <w:bCs/>
                <w:color w:val="2B3583"/>
                <w:sz w:val="24"/>
              </w:rPr>
              <w:t>E</w:t>
            </w:r>
            <w:r w:rsidR="000352C1">
              <w:rPr>
                <w:rFonts w:eastAsia="MS Gothic"/>
                <w:b/>
                <w:bCs/>
                <w:color w:val="2B3583"/>
                <w:sz w:val="24"/>
              </w:rPr>
              <w:t>UVRE D’</w:t>
            </w:r>
            <w:r w:rsidR="00730849">
              <w:rPr>
                <w:rFonts w:eastAsia="MS Gothic"/>
                <w:b/>
                <w:bCs/>
                <w:color w:val="2B3583"/>
                <w:sz w:val="24"/>
              </w:rPr>
              <w:t xml:space="preserve">UNE </w:t>
            </w:r>
            <w:r w:rsidR="000352C1">
              <w:rPr>
                <w:rFonts w:eastAsia="MS Gothic"/>
                <w:b/>
                <w:bCs/>
                <w:color w:val="2B3583"/>
                <w:sz w:val="24"/>
              </w:rPr>
              <w:t>INDEMNITÉ</w:t>
            </w:r>
            <w:r w:rsidR="00730849">
              <w:rPr>
                <w:rFonts w:eastAsia="MS Gothic"/>
                <w:b/>
                <w:bCs/>
                <w:color w:val="2B3583"/>
                <w:sz w:val="24"/>
              </w:rPr>
              <w:t xml:space="preserve"> DE MOBILITÉ</w:t>
            </w:r>
            <w:r w:rsidRPr="00510A39">
              <w:rPr>
                <w:rFonts w:eastAsia="MS Gothic"/>
                <w:b/>
                <w:bCs/>
                <w:color w:val="2B3583"/>
                <w:sz w:val="24"/>
              </w:rPr>
              <w:t xml:space="preserve"> </w:t>
            </w:r>
            <w:r w:rsidR="0080604F">
              <w:rPr>
                <w:rFonts w:eastAsia="MS Gothic"/>
                <w:b/>
                <w:bCs/>
                <w:color w:val="2B3583"/>
                <w:sz w:val="24"/>
              </w:rPr>
              <w:t>N°…….</w:t>
            </w:r>
          </w:p>
        </w:tc>
      </w:tr>
    </w:tbl>
    <w:p w14:paraId="3C8BE101" w14:textId="77777777" w:rsidR="00510A39" w:rsidRDefault="00510A39" w:rsidP="003C4D77">
      <w:pPr>
        <w:pStyle w:val="Titre1"/>
        <w:spacing w:before="0" w:after="0" w:line="259" w:lineRule="auto"/>
      </w:pPr>
    </w:p>
    <w:p w14:paraId="3F8EF10E" w14:textId="77777777" w:rsidR="00510A39" w:rsidRPr="00C9434D" w:rsidRDefault="00510A39" w:rsidP="00510A39">
      <w:pPr>
        <w:pBdr>
          <w:bottom w:val="single" w:sz="12" w:space="1" w:color="auto"/>
        </w:pBdr>
        <w:rPr>
          <w:rFonts w:ascii="Calibri" w:hAnsi="Calibri" w:cs="Calibri"/>
          <w:sz w:val="22"/>
          <w:szCs w:val="22"/>
        </w:rPr>
      </w:pPr>
    </w:p>
    <w:p w14:paraId="69C27D60" w14:textId="77777777" w:rsidR="00510A39" w:rsidRPr="00C9434D" w:rsidRDefault="00510A39" w:rsidP="00510A39">
      <w:pPr>
        <w:jc w:val="both"/>
        <w:rPr>
          <w:rFonts w:ascii="Calibri" w:hAnsi="Calibri" w:cs="Calibri"/>
          <w:sz w:val="22"/>
          <w:szCs w:val="22"/>
        </w:rPr>
      </w:pPr>
    </w:p>
    <w:p w14:paraId="6550BD2A" w14:textId="77777777" w:rsidR="00510A39" w:rsidRPr="000B765A" w:rsidRDefault="00510A39" w:rsidP="00510A39">
      <w:pPr>
        <w:pStyle w:val="Corpsdetexte"/>
        <w:tabs>
          <w:tab w:val="left" w:pos="4536"/>
        </w:tabs>
        <w:spacing w:after="0"/>
        <w:jc w:val="both"/>
        <w:rPr>
          <w:rFonts w:ascii="Calibri" w:hAnsi="Calibri"/>
          <w:sz w:val="22"/>
          <w:szCs w:val="22"/>
        </w:rPr>
      </w:pPr>
    </w:p>
    <w:p w14:paraId="6575E6AC" w14:textId="77777777" w:rsidR="00510A39" w:rsidRPr="000B765A" w:rsidRDefault="00510A39" w:rsidP="00510A39">
      <w:pPr>
        <w:pStyle w:val="Corpsdetexte"/>
        <w:tabs>
          <w:tab w:val="left" w:pos="4536"/>
        </w:tabs>
        <w:spacing w:after="0"/>
        <w:jc w:val="both"/>
        <w:rPr>
          <w:rFonts w:ascii="Calibri" w:hAnsi="Calibri"/>
          <w:sz w:val="22"/>
          <w:szCs w:val="22"/>
        </w:rPr>
      </w:pPr>
    </w:p>
    <w:p w14:paraId="771F3C55" w14:textId="77777777" w:rsidR="00510A39" w:rsidRPr="00C9434D" w:rsidRDefault="00510A39" w:rsidP="00510A39">
      <w:pPr>
        <w:pStyle w:val="Ontvotladelib"/>
        <w:spacing w:after="120"/>
        <w:rPr>
          <w:rFonts w:ascii="Calibri" w:hAnsi="Calibri" w:cs="Calibri"/>
          <w:sz w:val="22"/>
          <w:szCs w:val="22"/>
        </w:rPr>
      </w:pPr>
      <w:r w:rsidRPr="00C9434D">
        <w:rPr>
          <w:rFonts w:ascii="Calibri" w:hAnsi="Calibri" w:cs="Calibri"/>
          <w:sz w:val="22"/>
          <w:szCs w:val="22"/>
        </w:rPr>
        <w:t xml:space="preserve">Le ............……... </w:t>
      </w:r>
      <w:r w:rsidRPr="00C9434D">
        <w:rPr>
          <w:rFonts w:ascii="Calibri" w:hAnsi="Calibri" w:cs="Calibri"/>
          <w:i/>
          <w:iCs/>
          <w:sz w:val="22"/>
          <w:szCs w:val="22"/>
        </w:rPr>
        <w:t>(date)</w:t>
      </w:r>
      <w:r w:rsidRPr="00C9434D">
        <w:rPr>
          <w:rFonts w:ascii="Calibri" w:hAnsi="Calibri" w:cs="Calibri"/>
          <w:sz w:val="22"/>
          <w:szCs w:val="22"/>
        </w:rPr>
        <w:t xml:space="preserve">, à ...........………............. </w:t>
      </w:r>
      <w:r w:rsidRPr="00C9434D">
        <w:rPr>
          <w:rFonts w:ascii="Calibri" w:hAnsi="Calibri" w:cs="Calibri"/>
          <w:i/>
          <w:iCs/>
          <w:sz w:val="22"/>
          <w:szCs w:val="22"/>
        </w:rPr>
        <w:t>(heure)</w:t>
      </w:r>
      <w:r w:rsidRPr="00C9434D">
        <w:rPr>
          <w:rFonts w:ascii="Calibri" w:hAnsi="Calibri" w:cs="Calibri"/>
          <w:sz w:val="22"/>
          <w:szCs w:val="22"/>
        </w:rPr>
        <w:t>, en ..............................................</w:t>
      </w:r>
      <w:r w:rsidRPr="00C9434D">
        <w:rPr>
          <w:rFonts w:ascii="Calibri" w:hAnsi="Calibri" w:cs="Calibri"/>
          <w:i/>
          <w:iCs/>
          <w:sz w:val="22"/>
          <w:szCs w:val="22"/>
        </w:rPr>
        <w:t>(lieu)</w:t>
      </w:r>
      <w:r w:rsidRPr="00C9434D">
        <w:rPr>
          <w:rFonts w:ascii="Calibri" w:hAnsi="Calibri" w:cs="Calibri"/>
          <w:sz w:val="22"/>
          <w:szCs w:val="22"/>
        </w:rPr>
        <w:t xml:space="preserve"> se sont réunis les membres du Conseil Municipal </w:t>
      </w:r>
      <w:r w:rsidRPr="00C9434D">
        <w:rPr>
          <w:rFonts w:ascii="Calibri" w:hAnsi="Calibri" w:cs="Calibri"/>
          <w:i/>
          <w:iCs/>
          <w:sz w:val="22"/>
          <w:szCs w:val="22"/>
        </w:rPr>
        <w:t>(ou autre assemblée)</w:t>
      </w:r>
      <w:r w:rsidRPr="00C9434D">
        <w:rPr>
          <w:rFonts w:ascii="Calibri" w:hAnsi="Calibri" w:cs="Calibri"/>
          <w:sz w:val="22"/>
          <w:szCs w:val="22"/>
        </w:rPr>
        <w:t>, sous la présidence de ............................... , convoqués le ………………………….…… ,</w:t>
      </w:r>
    </w:p>
    <w:p w14:paraId="045A7FA5" w14:textId="77777777" w:rsidR="00510A39" w:rsidRPr="00C9434D" w:rsidRDefault="00510A39" w:rsidP="00510A39">
      <w:pPr>
        <w:pStyle w:val="Ontvotladelib"/>
        <w:tabs>
          <w:tab w:val="right" w:leader="dot" w:pos="9072"/>
        </w:tabs>
        <w:spacing w:after="120"/>
        <w:rPr>
          <w:rFonts w:ascii="Calibri" w:hAnsi="Calibri" w:cs="Calibri"/>
          <w:sz w:val="22"/>
          <w:szCs w:val="22"/>
        </w:rPr>
      </w:pPr>
      <w:r w:rsidRPr="00C9434D">
        <w:rPr>
          <w:rFonts w:ascii="Calibri" w:hAnsi="Calibri" w:cs="Calibri"/>
          <w:sz w:val="22"/>
          <w:szCs w:val="22"/>
        </w:rPr>
        <w:t xml:space="preserve">Etaient présents : </w:t>
      </w:r>
      <w:r w:rsidRPr="00C9434D">
        <w:rPr>
          <w:rFonts w:ascii="Calibri" w:hAnsi="Calibri" w:cs="Calibri"/>
          <w:sz w:val="22"/>
          <w:szCs w:val="22"/>
        </w:rPr>
        <w:tab/>
      </w:r>
    </w:p>
    <w:p w14:paraId="1EDF8CAC" w14:textId="77777777" w:rsidR="00510A39" w:rsidRPr="00C9434D" w:rsidRDefault="00510A39" w:rsidP="00510A39">
      <w:pPr>
        <w:pStyle w:val="Ontvotladelib"/>
        <w:tabs>
          <w:tab w:val="left" w:leader="dot" w:pos="9072"/>
        </w:tabs>
        <w:spacing w:after="120"/>
        <w:rPr>
          <w:rFonts w:ascii="Calibri" w:hAnsi="Calibri" w:cs="Calibri"/>
          <w:sz w:val="22"/>
          <w:szCs w:val="22"/>
        </w:rPr>
      </w:pPr>
      <w:r w:rsidRPr="00C9434D">
        <w:rPr>
          <w:rFonts w:ascii="Calibri" w:hAnsi="Calibri" w:cs="Calibri"/>
          <w:sz w:val="22"/>
          <w:szCs w:val="22"/>
        </w:rPr>
        <w:t>Etaient absent</w:t>
      </w:r>
      <w:r w:rsidRPr="00C9434D">
        <w:rPr>
          <w:rFonts w:ascii="Calibri" w:hAnsi="Calibri" w:cs="Calibri"/>
          <w:i/>
          <w:iCs/>
          <w:sz w:val="22"/>
          <w:szCs w:val="22"/>
        </w:rPr>
        <w:t>(s)</w:t>
      </w:r>
      <w:r w:rsidRPr="00C9434D">
        <w:rPr>
          <w:rFonts w:ascii="Calibri" w:hAnsi="Calibri" w:cs="Calibri"/>
          <w:sz w:val="22"/>
          <w:szCs w:val="22"/>
        </w:rPr>
        <w:t xml:space="preserve"> excusé</w:t>
      </w:r>
      <w:r w:rsidRPr="00C9434D">
        <w:rPr>
          <w:rFonts w:ascii="Calibri" w:hAnsi="Calibri" w:cs="Calibri"/>
          <w:i/>
          <w:iCs/>
          <w:sz w:val="22"/>
          <w:szCs w:val="22"/>
        </w:rPr>
        <w:t>(s)</w:t>
      </w:r>
      <w:r w:rsidRPr="00C9434D">
        <w:rPr>
          <w:rFonts w:ascii="Calibri" w:hAnsi="Calibri" w:cs="Calibri"/>
          <w:sz w:val="22"/>
          <w:szCs w:val="22"/>
        </w:rPr>
        <w:t xml:space="preserve"> : </w:t>
      </w:r>
      <w:r w:rsidRPr="00C9434D">
        <w:rPr>
          <w:rFonts w:ascii="Calibri" w:hAnsi="Calibri" w:cs="Calibri"/>
          <w:sz w:val="22"/>
          <w:szCs w:val="22"/>
        </w:rPr>
        <w:tab/>
      </w:r>
    </w:p>
    <w:p w14:paraId="01247103" w14:textId="77777777" w:rsidR="00510A39" w:rsidRPr="00C9434D" w:rsidRDefault="00510A39" w:rsidP="00510A39">
      <w:pPr>
        <w:pStyle w:val="Ontvotladelib"/>
        <w:tabs>
          <w:tab w:val="left" w:leader="dot" w:pos="9072"/>
        </w:tabs>
        <w:spacing w:after="120"/>
        <w:rPr>
          <w:rFonts w:ascii="Calibri" w:hAnsi="Calibri" w:cs="Calibri"/>
          <w:sz w:val="22"/>
          <w:szCs w:val="22"/>
        </w:rPr>
      </w:pPr>
      <w:r w:rsidRPr="00C9434D">
        <w:rPr>
          <w:rFonts w:ascii="Calibri" w:hAnsi="Calibri" w:cs="Calibri"/>
          <w:sz w:val="22"/>
          <w:szCs w:val="22"/>
        </w:rPr>
        <w:t xml:space="preserve">Le secrétariat a été assuré par : </w:t>
      </w:r>
      <w:r w:rsidRPr="00C9434D">
        <w:rPr>
          <w:rFonts w:ascii="Calibri" w:hAnsi="Calibri" w:cs="Calibri"/>
          <w:sz w:val="22"/>
          <w:szCs w:val="22"/>
        </w:rPr>
        <w:tab/>
      </w:r>
    </w:p>
    <w:p w14:paraId="6E10415A" w14:textId="77777777" w:rsidR="00510A39" w:rsidRPr="00C9434D" w:rsidRDefault="00510A39" w:rsidP="00510A39">
      <w:pPr>
        <w:pStyle w:val="Ontvotladelib"/>
        <w:spacing w:after="0"/>
        <w:rPr>
          <w:rFonts w:ascii="Calibri" w:hAnsi="Calibri" w:cs="Calibri"/>
          <w:sz w:val="22"/>
          <w:szCs w:val="22"/>
        </w:rPr>
      </w:pPr>
    </w:p>
    <w:p w14:paraId="00A7FB8F" w14:textId="77777777" w:rsidR="00510A39" w:rsidRPr="00C9434D" w:rsidRDefault="00510A39" w:rsidP="00510A39">
      <w:pPr>
        <w:pStyle w:val="LeMairerappellepropose"/>
        <w:spacing w:before="0" w:after="0"/>
        <w:jc w:val="center"/>
        <w:rPr>
          <w:rFonts w:ascii="Calibri" w:hAnsi="Calibri" w:cs="Calibri"/>
          <w:color w:val="000000"/>
          <w:sz w:val="22"/>
          <w:szCs w:val="22"/>
        </w:rPr>
      </w:pPr>
      <w:r w:rsidRPr="00C9434D">
        <w:rPr>
          <w:rFonts w:ascii="Calibri" w:hAnsi="Calibri" w:cs="Calibri"/>
          <w:sz w:val="22"/>
          <w:szCs w:val="22"/>
        </w:rPr>
        <w:sym w:font="Wingdings" w:char="F0DC"/>
      </w:r>
      <w:r w:rsidRPr="00C9434D">
        <w:rPr>
          <w:rFonts w:ascii="Calibri" w:hAnsi="Calibri" w:cs="Calibri"/>
          <w:sz w:val="22"/>
          <w:szCs w:val="22"/>
        </w:rPr>
        <w:t xml:space="preserve">  Le Maire </w:t>
      </w:r>
      <w:r w:rsidRPr="00C9434D">
        <w:rPr>
          <w:rFonts w:ascii="Calibri" w:hAnsi="Calibri" w:cs="Calibri"/>
          <w:i/>
          <w:iCs/>
          <w:sz w:val="22"/>
          <w:szCs w:val="22"/>
        </w:rPr>
        <w:t>(ou le Président)</w:t>
      </w:r>
      <w:r w:rsidRPr="00C9434D">
        <w:rPr>
          <w:rFonts w:ascii="Calibri" w:hAnsi="Calibri" w:cs="Calibri"/>
          <w:sz w:val="22"/>
          <w:szCs w:val="22"/>
        </w:rPr>
        <w:t xml:space="preserve"> informe l’assemblée :</w:t>
      </w:r>
    </w:p>
    <w:p w14:paraId="476A3E24" w14:textId="77777777" w:rsidR="00510A39" w:rsidRPr="00C9434D" w:rsidRDefault="00510A39" w:rsidP="00510A39">
      <w:pPr>
        <w:rPr>
          <w:rFonts w:ascii="Calibri" w:hAnsi="Calibri" w:cs="Calibri"/>
          <w:sz w:val="22"/>
          <w:szCs w:val="22"/>
        </w:rPr>
      </w:pPr>
    </w:p>
    <w:p w14:paraId="4D550908" w14:textId="77777777" w:rsidR="00DC4529" w:rsidRPr="004C052D" w:rsidRDefault="00DC4529" w:rsidP="00DC4529">
      <w:pPr>
        <w:spacing w:before="240" w:after="240"/>
        <w:rPr>
          <w:rFonts w:cs="Arial"/>
          <w:szCs w:val="20"/>
        </w:rPr>
      </w:pPr>
      <w:r w:rsidRPr="004C052D">
        <w:rPr>
          <w:rFonts w:cs="Arial"/>
          <w:b/>
          <w:szCs w:val="20"/>
        </w:rPr>
        <w:t>VU</w:t>
      </w:r>
      <w:r w:rsidRPr="004C052D">
        <w:rPr>
          <w:rFonts w:cs="Arial"/>
          <w:szCs w:val="20"/>
        </w:rPr>
        <w:t xml:space="preserve"> le Code Général </w:t>
      </w:r>
      <w:r>
        <w:rPr>
          <w:rFonts w:cs="Arial"/>
          <w:szCs w:val="20"/>
        </w:rPr>
        <w:t>des Collectivités Territoriales et notamment son article L 5111-7;</w:t>
      </w:r>
    </w:p>
    <w:p w14:paraId="52485F9B" w14:textId="77777777" w:rsidR="00DC4529" w:rsidRDefault="00DC4529" w:rsidP="00DC4529">
      <w:pPr>
        <w:spacing w:before="240" w:after="240"/>
        <w:rPr>
          <w:rFonts w:cs="Arial"/>
          <w:szCs w:val="20"/>
        </w:rPr>
      </w:pPr>
      <w:r w:rsidRPr="004C052D">
        <w:rPr>
          <w:rFonts w:cs="Arial"/>
          <w:b/>
          <w:szCs w:val="20"/>
        </w:rPr>
        <w:t>VU</w:t>
      </w:r>
      <w:r w:rsidRPr="004C052D">
        <w:rPr>
          <w:rFonts w:cs="Arial"/>
          <w:szCs w:val="20"/>
        </w:rPr>
        <w:t xml:space="preserve"> l</w:t>
      </w:r>
      <w:r>
        <w:rPr>
          <w:rFonts w:cs="Arial"/>
          <w:szCs w:val="20"/>
        </w:rPr>
        <w:t>e Code général de la fonction publique ;</w:t>
      </w:r>
    </w:p>
    <w:p w14:paraId="3D88A622" w14:textId="77777777" w:rsidR="00DC4529" w:rsidRPr="00606CC8" w:rsidRDefault="00DC4529" w:rsidP="00DC4529">
      <w:pPr>
        <w:spacing w:before="240" w:after="240"/>
        <w:rPr>
          <w:rFonts w:cs="Arial"/>
          <w:szCs w:val="20"/>
        </w:rPr>
      </w:pPr>
      <w:r w:rsidRPr="00D9005A">
        <w:rPr>
          <w:rFonts w:cs="Arial"/>
          <w:b/>
          <w:szCs w:val="20"/>
        </w:rPr>
        <w:t>VU</w:t>
      </w:r>
      <w:r w:rsidRPr="00D9005A">
        <w:rPr>
          <w:rFonts w:cs="Arial"/>
          <w:szCs w:val="20"/>
        </w:rPr>
        <w:t xml:space="preserve"> </w:t>
      </w:r>
      <w:r>
        <w:rPr>
          <w:rFonts w:cs="Arial"/>
          <w:szCs w:val="20"/>
        </w:rPr>
        <w:t xml:space="preserve">le </w:t>
      </w:r>
      <w:r w:rsidRPr="00606CC8">
        <w:rPr>
          <w:rFonts w:cs="Arial"/>
          <w:bCs/>
          <w:szCs w:val="20"/>
        </w:rPr>
        <w:t>décret n</w:t>
      </w:r>
      <w:r>
        <w:rPr>
          <w:rFonts w:cs="Arial"/>
          <w:bCs/>
          <w:szCs w:val="20"/>
        </w:rPr>
        <w:t>°</w:t>
      </w:r>
      <w:r w:rsidRPr="00606CC8">
        <w:rPr>
          <w:rFonts w:cs="Arial"/>
          <w:bCs/>
          <w:szCs w:val="20"/>
        </w:rPr>
        <w:t xml:space="preserve"> 2015-933 du 30 juillet 2015 portant attribution d’une indemnité de mobilité à certains agents de la fonction publique territoriale</w:t>
      </w:r>
      <w:r>
        <w:rPr>
          <w:rFonts w:cs="Arial"/>
          <w:bCs/>
          <w:szCs w:val="20"/>
        </w:rPr>
        <w:t xml:space="preserve"> ;</w:t>
      </w:r>
    </w:p>
    <w:p w14:paraId="3E5A449D" w14:textId="77777777" w:rsidR="00DC4529" w:rsidRPr="00606CC8" w:rsidRDefault="00DC4529" w:rsidP="00DC4529">
      <w:pPr>
        <w:spacing w:before="240" w:after="240"/>
        <w:rPr>
          <w:rFonts w:cs="Arial"/>
          <w:szCs w:val="20"/>
        </w:rPr>
      </w:pPr>
      <w:r w:rsidRPr="0084503A">
        <w:rPr>
          <w:rFonts w:cs="Arial"/>
          <w:b/>
          <w:szCs w:val="20"/>
        </w:rPr>
        <w:t>VU</w:t>
      </w:r>
      <w:r w:rsidRPr="0084503A">
        <w:rPr>
          <w:rFonts w:cs="Arial"/>
          <w:szCs w:val="20"/>
        </w:rPr>
        <w:t xml:space="preserve"> le </w:t>
      </w:r>
      <w:r w:rsidRPr="00606CC8">
        <w:rPr>
          <w:rFonts w:cs="Arial"/>
          <w:bCs/>
          <w:szCs w:val="20"/>
        </w:rPr>
        <w:t>décret n° 2015-934 du 30 juillet 2015 fixant les plafonds de l’indemnité de mobilité attribuée à certains agents de la fonction publique territoriale</w:t>
      </w:r>
      <w:r>
        <w:rPr>
          <w:rFonts w:cs="Arial"/>
          <w:bCs/>
          <w:szCs w:val="20"/>
        </w:rPr>
        <w:t xml:space="preserve"> ;</w:t>
      </w:r>
    </w:p>
    <w:p w14:paraId="280701D8" w14:textId="77777777" w:rsidR="00DC4529" w:rsidRPr="004C052D" w:rsidRDefault="00DC4529" w:rsidP="00DC4529">
      <w:pPr>
        <w:spacing w:before="240" w:after="240"/>
        <w:rPr>
          <w:rFonts w:cs="Arial"/>
          <w:szCs w:val="20"/>
        </w:rPr>
      </w:pPr>
      <w:r w:rsidRPr="00FD2184">
        <w:rPr>
          <w:rFonts w:cs="Arial"/>
          <w:b/>
          <w:szCs w:val="20"/>
        </w:rPr>
        <w:t>VU</w:t>
      </w:r>
      <w:r>
        <w:rPr>
          <w:rFonts w:cs="Arial"/>
          <w:szCs w:val="20"/>
        </w:rPr>
        <w:t xml:space="preserve"> l'avis favorable du </w:t>
      </w:r>
      <w:r w:rsidRPr="00E25583">
        <w:rPr>
          <w:rFonts w:cs="Arial"/>
          <w:szCs w:val="20"/>
        </w:rPr>
        <w:t xml:space="preserve">Comité </w:t>
      </w:r>
      <w:r>
        <w:rPr>
          <w:rFonts w:cs="Arial"/>
          <w:szCs w:val="20"/>
        </w:rPr>
        <w:t>social territorial</w:t>
      </w:r>
      <w:r w:rsidRPr="00E25583">
        <w:rPr>
          <w:rFonts w:cs="Arial"/>
          <w:szCs w:val="20"/>
        </w:rPr>
        <w:t xml:space="preserve"> </w:t>
      </w:r>
      <w:r>
        <w:rPr>
          <w:rFonts w:cs="Arial"/>
          <w:szCs w:val="20"/>
        </w:rPr>
        <w:t xml:space="preserve">en date du ………………. ; </w:t>
      </w:r>
    </w:p>
    <w:p w14:paraId="2FDE87E6" w14:textId="38377321" w:rsidR="00DC4529" w:rsidRPr="00E25583" w:rsidRDefault="00321A53" w:rsidP="00DC4529">
      <w:pPr>
        <w:spacing w:before="240" w:after="240"/>
        <w:rPr>
          <w:rFonts w:cs="Arial"/>
          <w:szCs w:val="20"/>
        </w:rPr>
      </w:pPr>
      <w:r>
        <w:rPr>
          <w:rFonts w:cs="Arial"/>
          <w:szCs w:val="20"/>
        </w:rPr>
        <w:t>D</w:t>
      </w:r>
      <w:r w:rsidR="00DC4529">
        <w:rPr>
          <w:rFonts w:cs="Arial"/>
          <w:szCs w:val="20"/>
        </w:rPr>
        <w:t>epuis le 1</w:t>
      </w:r>
      <w:r w:rsidR="00DC4529" w:rsidRPr="00D9260B">
        <w:rPr>
          <w:rFonts w:cs="Arial"/>
          <w:szCs w:val="20"/>
          <w:vertAlign w:val="superscript"/>
        </w:rPr>
        <w:t>er</w:t>
      </w:r>
      <w:r w:rsidR="00DC4529">
        <w:rPr>
          <w:rFonts w:cs="Arial"/>
          <w:szCs w:val="20"/>
        </w:rPr>
        <w:t xml:space="preserve"> août 2015, il est possible de mettre en place l'indemnité de mobilité destinée à compenser, au profit de l'agent, les changements d'employeur et de lieu de travail imposés à ce dernier dans le cadre d'une réorganisation territoriale au titre de la coopération locale. Cette indemnité a vocation à compenser les coûts liés au changement de résidence familiale ou à l'allongement de la distance domicile-travail ;</w:t>
      </w:r>
    </w:p>
    <w:p w14:paraId="07104086" w14:textId="6D72948D" w:rsidR="00DC4529" w:rsidRPr="003E7665" w:rsidRDefault="00DC4529" w:rsidP="00DC4529">
      <w:pPr>
        <w:spacing w:before="240" w:after="240"/>
        <w:rPr>
          <w:rFonts w:cs="Arial"/>
          <w:b/>
          <w:szCs w:val="20"/>
        </w:rPr>
      </w:pPr>
      <w:r w:rsidRPr="00E25583">
        <w:rPr>
          <w:rFonts w:cs="Arial"/>
          <w:szCs w:val="20"/>
        </w:rPr>
        <w:t>I</w:t>
      </w:r>
      <w:r>
        <w:rPr>
          <w:rFonts w:cs="Arial"/>
          <w:szCs w:val="20"/>
        </w:rPr>
        <w:t xml:space="preserve">l </w:t>
      </w:r>
      <w:r w:rsidRPr="003E7665">
        <w:rPr>
          <w:rFonts w:cs="Arial"/>
          <w:szCs w:val="20"/>
        </w:rPr>
        <w:t>doit s'agir d'une mobilité entre collectivités territoriales ou entre une collectivité territori</w:t>
      </w:r>
      <w:r>
        <w:rPr>
          <w:rFonts w:cs="Arial"/>
          <w:szCs w:val="20"/>
        </w:rPr>
        <w:t>ale et un établissement public ;</w:t>
      </w:r>
    </w:p>
    <w:p w14:paraId="1588107A" w14:textId="18EF0658" w:rsidR="00DC4529" w:rsidRPr="00E25583" w:rsidRDefault="00F2413C" w:rsidP="00DC4529">
      <w:pPr>
        <w:spacing w:before="240" w:after="240"/>
        <w:rPr>
          <w:rFonts w:cs="Arial"/>
          <w:szCs w:val="20"/>
        </w:rPr>
      </w:pPr>
      <w:r>
        <w:rPr>
          <w:rFonts w:cs="Arial"/>
          <w:szCs w:val="20"/>
        </w:rPr>
        <w:t>L</w:t>
      </w:r>
      <w:r w:rsidR="00DC4529">
        <w:rPr>
          <w:rFonts w:cs="Arial"/>
          <w:szCs w:val="20"/>
        </w:rPr>
        <w:t xml:space="preserve">a réorganisation territoriale peut être établie dans les situations suivantes (liste non exhaustive) : </w:t>
      </w:r>
      <w:r w:rsidR="00DC4529" w:rsidRPr="003E7665">
        <w:rPr>
          <w:rFonts w:cs="Arial"/>
          <w:szCs w:val="20"/>
        </w:rPr>
        <w:t xml:space="preserve">Transfert de compétences entre des collectivités territoriales et le groupement de collectivités territoriales dont elles sont </w:t>
      </w:r>
      <w:r w:rsidR="00DC4529" w:rsidRPr="003E7665">
        <w:rPr>
          <w:rFonts w:cs="Arial"/>
          <w:szCs w:val="20"/>
        </w:rPr>
        <w:lastRenderedPageBreak/>
        <w:t>membres ;</w:t>
      </w:r>
      <w:r w:rsidR="00DC4529">
        <w:rPr>
          <w:rFonts w:cs="Arial"/>
          <w:szCs w:val="20"/>
        </w:rPr>
        <w:t xml:space="preserve"> </w:t>
      </w:r>
      <w:r w:rsidR="00DC4529" w:rsidRPr="003E7665">
        <w:rPr>
          <w:rFonts w:cs="Arial"/>
          <w:szCs w:val="20"/>
        </w:rPr>
        <w:t xml:space="preserve">Transformation d'un EPCI (établissement public de coopération intercommunale) sans fiscalité propre </w:t>
      </w:r>
      <w:r w:rsidR="00DC4529">
        <w:rPr>
          <w:rFonts w:cs="Arial"/>
          <w:szCs w:val="20"/>
        </w:rPr>
        <w:t xml:space="preserve">en EPCI avec fiscalité propre ; </w:t>
      </w:r>
      <w:r w:rsidR="00DC4529" w:rsidRPr="003E7665">
        <w:rPr>
          <w:rFonts w:cs="Arial"/>
          <w:szCs w:val="20"/>
        </w:rPr>
        <w:t>Création d'un syndicat de co</w:t>
      </w:r>
      <w:r w:rsidR="00DC4529">
        <w:rPr>
          <w:rFonts w:cs="Arial"/>
          <w:szCs w:val="20"/>
        </w:rPr>
        <w:t xml:space="preserve">mmunes ou d'un syndicat mixte ; </w:t>
      </w:r>
      <w:r w:rsidR="00DC4529" w:rsidRPr="003E7665">
        <w:rPr>
          <w:rFonts w:cs="Arial"/>
          <w:szCs w:val="20"/>
        </w:rPr>
        <w:t>Création d'u</w:t>
      </w:r>
      <w:r w:rsidR="00DC4529">
        <w:rPr>
          <w:rFonts w:cs="Arial"/>
          <w:szCs w:val="20"/>
        </w:rPr>
        <w:t xml:space="preserve">n EPCI à fiscalité propre ; </w:t>
      </w:r>
      <w:r w:rsidR="00DC4529" w:rsidRPr="003E7665">
        <w:rPr>
          <w:rFonts w:cs="Arial"/>
          <w:szCs w:val="20"/>
        </w:rPr>
        <w:t>Fusion d'EPCI à fiscalité propre</w:t>
      </w:r>
      <w:r w:rsidR="00DC4529">
        <w:rPr>
          <w:rFonts w:cs="Arial"/>
          <w:szCs w:val="20"/>
        </w:rPr>
        <w:t xml:space="preserve"> ; Etc… ;</w:t>
      </w:r>
    </w:p>
    <w:p w14:paraId="1FECC9DA" w14:textId="77777777" w:rsidR="00DC4529" w:rsidRPr="00F2413C" w:rsidRDefault="00DC4529" w:rsidP="00DC4529">
      <w:pPr>
        <w:spacing w:before="240" w:after="240" w:line="240" w:lineRule="auto"/>
        <w:rPr>
          <w:rFonts w:eastAsia="Times New Roman" w:cs="Arial"/>
          <w:b/>
          <w:bCs/>
        </w:rPr>
      </w:pPr>
      <w:r w:rsidRPr="00F2413C">
        <w:rPr>
          <w:rFonts w:cs="Arial"/>
          <w:b/>
          <w:bCs/>
          <w:szCs w:val="20"/>
        </w:rPr>
        <w:t>Au regard de ces éléments, M.</w:t>
      </w:r>
      <w:r w:rsidRPr="00F2413C">
        <w:rPr>
          <w:rFonts w:cs="Arial"/>
          <w:b/>
          <w:bCs/>
          <w:i/>
          <w:szCs w:val="20"/>
        </w:rPr>
        <w:t xml:space="preserve"> (ou Mme)</w:t>
      </w:r>
      <w:r w:rsidRPr="00F2413C">
        <w:rPr>
          <w:rFonts w:cs="Arial"/>
          <w:b/>
          <w:bCs/>
          <w:szCs w:val="20"/>
        </w:rPr>
        <w:t xml:space="preserve"> Le Maire </w:t>
      </w:r>
      <w:r w:rsidRPr="00F2413C">
        <w:rPr>
          <w:rFonts w:cs="Arial"/>
          <w:b/>
          <w:bCs/>
          <w:i/>
          <w:szCs w:val="20"/>
        </w:rPr>
        <w:t>(ou Le Président)</w:t>
      </w:r>
      <w:r w:rsidRPr="00F2413C">
        <w:rPr>
          <w:rFonts w:cs="Arial"/>
          <w:b/>
          <w:bCs/>
          <w:szCs w:val="20"/>
        </w:rPr>
        <w:t xml:space="preserve"> ……………………… propose les</w:t>
      </w:r>
      <w:r w:rsidRPr="00F2413C">
        <w:rPr>
          <w:rFonts w:eastAsia="Times New Roman" w:cs="Arial"/>
          <w:b/>
          <w:bCs/>
        </w:rPr>
        <w:t xml:space="preserve"> critères de détermination de l'indemnité de mobilité suivants :</w:t>
      </w:r>
    </w:p>
    <w:p w14:paraId="546D24C0" w14:textId="77777777" w:rsidR="00F2413C" w:rsidRDefault="00F2413C" w:rsidP="00DC4529">
      <w:pPr>
        <w:keepNext/>
        <w:keepLines/>
        <w:spacing w:before="320" w:after="320"/>
        <w:jc w:val="both"/>
        <w:outlineLvl w:val="0"/>
        <w:rPr>
          <w:rFonts w:cs="Arial"/>
          <w:b/>
          <w:color w:val="2B3583"/>
          <w:sz w:val="24"/>
        </w:rPr>
      </w:pPr>
    </w:p>
    <w:p w14:paraId="5A086624" w14:textId="24D32CDF" w:rsidR="00DC4529" w:rsidRPr="00077C84" w:rsidRDefault="00077C84" w:rsidP="00DC4529">
      <w:pPr>
        <w:keepNext/>
        <w:keepLines/>
        <w:spacing w:before="320" w:after="320"/>
        <w:jc w:val="both"/>
        <w:outlineLvl w:val="0"/>
        <w:rPr>
          <w:rFonts w:cs="Arial"/>
          <w:b/>
          <w:color w:val="2B3583"/>
          <w:sz w:val="24"/>
        </w:rPr>
      </w:pPr>
      <w:r>
        <w:rPr>
          <w:rFonts w:cs="Arial"/>
          <w:b/>
          <w:color w:val="2B3583"/>
          <w:sz w:val="24"/>
        </w:rPr>
        <w:t xml:space="preserve">1 - </w:t>
      </w:r>
      <w:r w:rsidR="00DC4529" w:rsidRPr="00077C84">
        <w:rPr>
          <w:rFonts w:cs="Arial"/>
          <w:b/>
          <w:color w:val="2B3583"/>
          <w:sz w:val="24"/>
        </w:rPr>
        <w:t>Montant de l'indemnité</w:t>
      </w:r>
    </w:p>
    <w:p w14:paraId="0F436AE4" w14:textId="77777777" w:rsidR="00DC4529" w:rsidRPr="00077C84" w:rsidRDefault="00DC4529" w:rsidP="00077C84">
      <w:pPr>
        <w:keepNext/>
        <w:keepLines/>
        <w:spacing w:before="320" w:after="320"/>
        <w:ind w:firstLine="708"/>
        <w:jc w:val="both"/>
        <w:outlineLvl w:val="0"/>
        <w:rPr>
          <w:rFonts w:cs="Arial"/>
          <w:b/>
          <w:color w:val="2B3583"/>
          <w:sz w:val="24"/>
        </w:rPr>
      </w:pPr>
      <w:r w:rsidRPr="00077C84">
        <w:rPr>
          <w:rFonts w:cs="Arial"/>
          <w:b/>
          <w:color w:val="2B3583"/>
          <w:sz w:val="24"/>
        </w:rPr>
        <w:t xml:space="preserve">Mobilité impliquant un changement de résidence familiale </w:t>
      </w:r>
    </w:p>
    <w:p w14:paraId="28687150" w14:textId="77777777" w:rsidR="00DC4529" w:rsidRPr="00DB084C" w:rsidRDefault="00DC4529" w:rsidP="00DC4529">
      <w:pPr>
        <w:spacing w:before="240" w:after="240"/>
        <w:rPr>
          <w:bCs/>
          <w:iCs/>
          <w:szCs w:val="20"/>
        </w:rPr>
      </w:pPr>
      <w:r w:rsidRPr="00DB084C">
        <w:rPr>
          <w:bCs/>
          <w:iCs/>
          <w:szCs w:val="20"/>
        </w:rPr>
        <w:t xml:space="preserve">Lorsque l’agent change de résidence familiale à l’occasion du changement de son lieu de travail et sous réserve que le </w:t>
      </w:r>
      <w:r w:rsidRPr="00DB084C">
        <w:rPr>
          <w:b/>
          <w:bCs/>
          <w:iCs/>
          <w:szCs w:val="20"/>
        </w:rPr>
        <w:t>trajet aller-retour entre la résidence familiale initiale et le nouveau lieu de travail soit allongé d’une distance égale ou supérieure à 90 km</w:t>
      </w:r>
      <w:r w:rsidRPr="00DB084C">
        <w:rPr>
          <w:bCs/>
          <w:iCs/>
          <w:szCs w:val="20"/>
        </w:rPr>
        <w:t>, le montant de l’indemnité de mobilité est fixé en fonction de la composition de la famille et de la perte éventuelle d’emploi du conjoint due au chan</w:t>
      </w:r>
      <w:r>
        <w:rPr>
          <w:bCs/>
          <w:iCs/>
          <w:szCs w:val="20"/>
        </w:rPr>
        <w:t>gement de résidence familiale.</w:t>
      </w:r>
    </w:p>
    <w:p w14:paraId="49CFE4A7" w14:textId="77777777" w:rsidR="00DC4529" w:rsidRPr="00DB084C" w:rsidRDefault="00DC4529" w:rsidP="00DC4529">
      <w:pPr>
        <w:spacing w:before="240" w:after="240"/>
        <w:rPr>
          <w:bCs/>
          <w:iCs/>
          <w:szCs w:val="20"/>
        </w:rPr>
      </w:pPr>
      <w:r w:rsidRPr="00DB084C">
        <w:rPr>
          <w:bCs/>
          <w:iCs/>
          <w:szCs w:val="20"/>
        </w:rPr>
        <w:t xml:space="preserve">Ainsi, pour les agents qui changent de résidence familiale à l’occasion du changement de lieu de travail, </w:t>
      </w:r>
      <w:r w:rsidRPr="00DB084C">
        <w:rPr>
          <w:b/>
          <w:bCs/>
          <w:iCs/>
          <w:szCs w:val="20"/>
        </w:rPr>
        <w:t>sous réserve que le trajet aller-retour entre la résidence familiale initiale et le nouveau lieu de travail soit allongé d’une distance égale ou supérieure à 90 km</w:t>
      </w:r>
      <w:r w:rsidRPr="00DB084C">
        <w:rPr>
          <w:bCs/>
          <w:iCs/>
          <w:szCs w:val="20"/>
        </w:rPr>
        <w:t>, les plafonds de l’indemnité de mobilité qui peut leur être versée sont fixés ainsi qu’il suit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8"/>
        <w:gridCol w:w="4957"/>
      </w:tblGrid>
      <w:tr w:rsidR="00FA2C07" w:rsidRPr="00D72545" w14:paraId="7DA94923" w14:textId="77777777" w:rsidTr="00077C84">
        <w:trPr>
          <w:trHeight w:val="567"/>
        </w:trPr>
        <w:tc>
          <w:tcPr>
            <w:tcW w:w="5064" w:type="dxa"/>
            <w:shd w:val="clear" w:color="auto" w:fill="2B3583"/>
            <w:vAlign w:val="center"/>
          </w:tcPr>
          <w:p w14:paraId="4783A54C" w14:textId="5FD3A865" w:rsidR="00DC4529" w:rsidRPr="00077C84" w:rsidRDefault="00DC4529" w:rsidP="003808D5">
            <w:pPr>
              <w:spacing w:before="120"/>
              <w:ind w:right="-109"/>
              <w:jc w:val="center"/>
              <w:rPr>
                <w:rFonts w:cs="Arial"/>
                <w:b/>
                <w:color w:val="FFFFFF" w:themeColor="background1"/>
                <w:szCs w:val="20"/>
              </w:rPr>
            </w:pPr>
            <w:r w:rsidRPr="00077C84">
              <w:rPr>
                <w:rFonts w:cs="Arial"/>
                <w:b/>
                <w:color w:val="FFFFFF" w:themeColor="background1"/>
                <w:szCs w:val="20"/>
              </w:rPr>
              <w:t>C</w:t>
            </w:r>
            <w:r w:rsidR="00FA2C07">
              <w:rPr>
                <w:rFonts w:cs="Arial"/>
                <w:b/>
                <w:color w:val="FFFFFF" w:themeColor="background1"/>
                <w:szCs w:val="20"/>
              </w:rPr>
              <w:t>RITÈRES FAMILIAUX</w:t>
            </w:r>
          </w:p>
        </w:tc>
        <w:tc>
          <w:tcPr>
            <w:tcW w:w="5067" w:type="dxa"/>
            <w:shd w:val="clear" w:color="auto" w:fill="2B3583"/>
            <w:vAlign w:val="center"/>
          </w:tcPr>
          <w:p w14:paraId="20692B27" w14:textId="710C3FB2" w:rsidR="00DC4529" w:rsidRPr="00077C84" w:rsidRDefault="00DC4529" w:rsidP="003808D5">
            <w:pPr>
              <w:spacing w:before="120"/>
              <w:ind w:right="-109"/>
              <w:jc w:val="center"/>
              <w:rPr>
                <w:rFonts w:cs="Arial"/>
                <w:b/>
                <w:color w:val="FFFFFF" w:themeColor="background1"/>
                <w:szCs w:val="20"/>
              </w:rPr>
            </w:pPr>
            <w:r w:rsidRPr="00077C84">
              <w:rPr>
                <w:rFonts w:cs="Arial"/>
                <w:b/>
                <w:color w:val="FFFFFF" w:themeColor="background1"/>
                <w:szCs w:val="20"/>
              </w:rPr>
              <w:t>M</w:t>
            </w:r>
            <w:r w:rsidR="00FA2C07">
              <w:rPr>
                <w:rFonts w:cs="Arial"/>
                <w:b/>
                <w:color w:val="FFFFFF" w:themeColor="background1"/>
                <w:szCs w:val="20"/>
              </w:rPr>
              <w:t>ONTANT PLAFOND DE L’INDEMNITÉ DE MOBILITÉ</w:t>
            </w:r>
          </w:p>
        </w:tc>
      </w:tr>
      <w:tr w:rsidR="00FA2C07" w:rsidRPr="00D72545" w14:paraId="14215B39" w14:textId="77777777" w:rsidTr="003808D5">
        <w:trPr>
          <w:trHeight w:val="680"/>
        </w:trPr>
        <w:tc>
          <w:tcPr>
            <w:tcW w:w="5064" w:type="dxa"/>
            <w:shd w:val="clear" w:color="auto" w:fill="auto"/>
            <w:vAlign w:val="center"/>
          </w:tcPr>
          <w:p w14:paraId="6267B8FA" w14:textId="77777777" w:rsidR="00DC4529" w:rsidRPr="00D72545" w:rsidRDefault="00DC4529" w:rsidP="003808D5">
            <w:pPr>
              <w:spacing w:before="120"/>
              <w:ind w:right="-109"/>
              <w:jc w:val="center"/>
              <w:rPr>
                <w:rFonts w:cs="Arial"/>
                <w:color w:val="000000"/>
                <w:szCs w:val="20"/>
              </w:rPr>
            </w:pPr>
            <w:r w:rsidRPr="00DB084C">
              <w:rPr>
                <w:bCs/>
                <w:iCs/>
                <w:szCs w:val="20"/>
              </w:rPr>
              <w:t>Agent sans enfant</w:t>
            </w:r>
          </w:p>
        </w:tc>
        <w:tc>
          <w:tcPr>
            <w:tcW w:w="5067" w:type="dxa"/>
            <w:shd w:val="clear" w:color="auto" w:fill="auto"/>
            <w:vAlign w:val="center"/>
          </w:tcPr>
          <w:p w14:paraId="40303300" w14:textId="77777777" w:rsidR="00DC4529" w:rsidRPr="00DB084C" w:rsidRDefault="00DC4529" w:rsidP="003808D5">
            <w:pPr>
              <w:jc w:val="center"/>
              <w:rPr>
                <w:bCs/>
                <w:iCs/>
                <w:szCs w:val="20"/>
              </w:rPr>
            </w:pPr>
            <w:r>
              <w:rPr>
                <w:bCs/>
                <w:iCs/>
                <w:szCs w:val="20"/>
              </w:rPr>
              <w:t>15 000 euros</w:t>
            </w:r>
          </w:p>
        </w:tc>
      </w:tr>
      <w:tr w:rsidR="00FA2C07" w:rsidRPr="00D72545" w14:paraId="3C559898" w14:textId="77777777" w:rsidTr="003808D5">
        <w:trPr>
          <w:trHeight w:val="680"/>
        </w:trPr>
        <w:tc>
          <w:tcPr>
            <w:tcW w:w="5064" w:type="dxa"/>
            <w:shd w:val="clear" w:color="auto" w:fill="auto"/>
            <w:vAlign w:val="center"/>
          </w:tcPr>
          <w:p w14:paraId="5EB5537A" w14:textId="77777777" w:rsidR="00DC4529" w:rsidRPr="00DB084C" w:rsidRDefault="00DC4529" w:rsidP="003808D5">
            <w:pPr>
              <w:jc w:val="center"/>
              <w:rPr>
                <w:bCs/>
                <w:iCs/>
                <w:szCs w:val="20"/>
              </w:rPr>
            </w:pPr>
            <w:r w:rsidRPr="00DB084C">
              <w:rPr>
                <w:bCs/>
                <w:iCs/>
                <w:szCs w:val="20"/>
              </w:rPr>
              <w:t>Agent ayant 1 ou 2 enfants à charge</w:t>
            </w:r>
          </w:p>
        </w:tc>
        <w:tc>
          <w:tcPr>
            <w:tcW w:w="5067" w:type="dxa"/>
            <w:shd w:val="clear" w:color="auto" w:fill="auto"/>
            <w:vAlign w:val="center"/>
          </w:tcPr>
          <w:p w14:paraId="6D504AE1" w14:textId="77777777" w:rsidR="00DC4529" w:rsidRPr="00DB084C" w:rsidRDefault="00DC4529" w:rsidP="003808D5">
            <w:pPr>
              <w:jc w:val="center"/>
              <w:rPr>
                <w:bCs/>
                <w:iCs/>
                <w:szCs w:val="20"/>
              </w:rPr>
            </w:pPr>
            <w:r>
              <w:rPr>
                <w:bCs/>
                <w:iCs/>
                <w:szCs w:val="20"/>
              </w:rPr>
              <w:t>17 000 euros</w:t>
            </w:r>
          </w:p>
        </w:tc>
      </w:tr>
      <w:tr w:rsidR="00FA2C07" w:rsidRPr="00D72545" w14:paraId="44A94B8C" w14:textId="77777777" w:rsidTr="003808D5">
        <w:trPr>
          <w:trHeight w:val="680"/>
        </w:trPr>
        <w:tc>
          <w:tcPr>
            <w:tcW w:w="5064" w:type="dxa"/>
            <w:shd w:val="clear" w:color="auto" w:fill="auto"/>
            <w:vAlign w:val="center"/>
          </w:tcPr>
          <w:p w14:paraId="3ACBC6A0" w14:textId="77777777" w:rsidR="00DC4529" w:rsidRPr="00DB084C" w:rsidRDefault="00DC4529" w:rsidP="003808D5">
            <w:pPr>
              <w:jc w:val="center"/>
              <w:rPr>
                <w:bCs/>
                <w:iCs/>
                <w:szCs w:val="20"/>
              </w:rPr>
            </w:pPr>
            <w:r w:rsidRPr="00DB084C">
              <w:rPr>
                <w:bCs/>
                <w:iCs/>
                <w:szCs w:val="20"/>
              </w:rPr>
              <w:t>Agent ayant 3 enfants à charge</w:t>
            </w:r>
          </w:p>
        </w:tc>
        <w:tc>
          <w:tcPr>
            <w:tcW w:w="5067" w:type="dxa"/>
            <w:shd w:val="clear" w:color="auto" w:fill="auto"/>
            <w:vAlign w:val="center"/>
          </w:tcPr>
          <w:p w14:paraId="368FC5F0" w14:textId="77777777" w:rsidR="00DC4529" w:rsidRPr="00DB084C" w:rsidRDefault="00DC4529" w:rsidP="003808D5">
            <w:pPr>
              <w:jc w:val="center"/>
              <w:rPr>
                <w:bCs/>
                <w:iCs/>
                <w:szCs w:val="20"/>
              </w:rPr>
            </w:pPr>
            <w:r>
              <w:rPr>
                <w:bCs/>
                <w:iCs/>
                <w:szCs w:val="20"/>
              </w:rPr>
              <w:t>20 000 euros</w:t>
            </w:r>
          </w:p>
        </w:tc>
      </w:tr>
      <w:tr w:rsidR="00FA2C07" w:rsidRPr="00D72545" w14:paraId="4468A0E8" w14:textId="77777777" w:rsidTr="003808D5">
        <w:trPr>
          <w:trHeight w:val="680"/>
        </w:trPr>
        <w:tc>
          <w:tcPr>
            <w:tcW w:w="5064" w:type="dxa"/>
            <w:shd w:val="clear" w:color="auto" w:fill="auto"/>
            <w:vAlign w:val="center"/>
          </w:tcPr>
          <w:p w14:paraId="2DC41F04" w14:textId="77777777" w:rsidR="00DC4529" w:rsidRPr="00DB084C" w:rsidRDefault="00DC4529" w:rsidP="003808D5">
            <w:pPr>
              <w:jc w:val="center"/>
              <w:rPr>
                <w:bCs/>
                <w:iCs/>
                <w:szCs w:val="20"/>
              </w:rPr>
            </w:pPr>
            <w:r w:rsidRPr="00DB084C">
              <w:rPr>
                <w:bCs/>
                <w:iCs/>
                <w:szCs w:val="20"/>
              </w:rPr>
              <w:t>Agent ayant 1 à 3 enfants à charge + Perte d'emploi du conjoint dû au changement de résidence</w:t>
            </w:r>
          </w:p>
        </w:tc>
        <w:tc>
          <w:tcPr>
            <w:tcW w:w="5067" w:type="dxa"/>
            <w:shd w:val="clear" w:color="auto" w:fill="auto"/>
            <w:vAlign w:val="center"/>
          </w:tcPr>
          <w:p w14:paraId="57E6982B" w14:textId="77777777" w:rsidR="00DC4529" w:rsidRPr="00DB084C" w:rsidRDefault="00DC4529" w:rsidP="003808D5">
            <w:pPr>
              <w:jc w:val="center"/>
              <w:rPr>
                <w:bCs/>
                <w:iCs/>
                <w:szCs w:val="20"/>
              </w:rPr>
            </w:pPr>
            <w:r>
              <w:rPr>
                <w:bCs/>
                <w:iCs/>
                <w:szCs w:val="20"/>
              </w:rPr>
              <w:t>25 000 euros</w:t>
            </w:r>
          </w:p>
        </w:tc>
      </w:tr>
      <w:tr w:rsidR="00FA2C07" w:rsidRPr="00D72545" w14:paraId="45551CBE" w14:textId="77777777" w:rsidTr="003808D5">
        <w:trPr>
          <w:trHeight w:val="680"/>
        </w:trPr>
        <w:tc>
          <w:tcPr>
            <w:tcW w:w="5064" w:type="dxa"/>
            <w:shd w:val="clear" w:color="auto" w:fill="auto"/>
            <w:vAlign w:val="center"/>
          </w:tcPr>
          <w:p w14:paraId="7CF1C4B6" w14:textId="77777777" w:rsidR="00DC4529" w:rsidRPr="00DB084C" w:rsidRDefault="00DC4529" w:rsidP="003808D5">
            <w:pPr>
              <w:jc w:val="center"/>
              <w:rPr>
                <w:bCs/>
                <w:iCs/>
                <w:szCs w:val="20"/>
              </w:rPr>
            </w:pPr>
            <w:r w:rsidRPr="00DB084C">
              <w:rPr>
                <w:bCs/>
                <w:iCs/>
                <w:szCs w:val="20"/>
              </w:rPr>
              <w:t>Agent ayant plus de 3 enfants à charge + Perte d'emploi du conjoint dû au changement de résidence</w:t>
            </w:r>
          </w:p>
        </w:tc>
        <w:tc>
          <w:tcPr>
            <w:tcW w:w="5067" w:type="dxa"/>
            <w:shd w:val="clear" w:color="auto" w:fill="auto"/>
            <w:vAlign w:val="center"/>
          </w:tcPr>
          <w:p w14:paraId="6214718D" w14:textId="77777777" w:rsidR="00DC4529" w:rsidRPr="00DB084C" w:rsidRDefault="00DC4529" w:rsidP="003808D5">
            <w:pPr>
              <w:pStyle w:val="Paragraphedeliste"/>
              <w:numPr>
                <w:ilvl w:val="0"/>
                <w:numId w:val="0"/>
              </w:numPr>
              <w:spacing w:before="120"/>
              <w:ind w:left="-102"/>
              <w:jc w:val="center"/>
              <w:rPr>
                <w:bCs/>
                <w:iCs/>
                <w:szCs w:val="20"/>
              </w:rPr>
            </w:pPr>
            <w:r>
              <w:rPr>
                <w:bCs/>
                <w:iCs/>
                <w:szCs w:val="20"/>
              </w:rPr>
              <w:t>30 000 euros</w:t>
            </w:r>
          </w:p>
        </w:tc>
      </w:tr>
    </w:tbl>
    <w:p w14:paraId="6D3C7BCA" w14:textId="77777777" w:rsidR="00DC4529" w:rsidRPr="00C32D54" w:rsidRDefault="00DC4529" w:rsidP="00DC4529">
      <w:pPr>
        <w:spacing w:before="240" w:after="240"/>
        <w:rPr>
          <w:rFonts w:eastAsia="Times New Roman"/>
          <w:b/>
          <w:i/>
          <w:color w:val="2B3583"/>
          <w:spacing w:val="5"/>
          <w:kern w:val="28"/>
          <w:szCs w:val="20"/>
        </w:rPr>
      </w:pPr>
      <w:r w:rsidRPr="00C32D54">
        <w:rPr>
          <w:rFonts w:eastAsia="Times New Roman"/>
          <w:b/>
          <w:i/>
          <w:color w:val="2B3583"/>
          <w:spacing w:val="5"/>
          <w:kern w:val="28"/>
          <w:szCs w:val="20"/>
        </w:rPr>
        <w:t>(Il s'agit de montants plafonds : L'organe délibérant peut donc décider de fixer des montants moins élevés)</w:t>
      </w:r>
    </w:p>
    <w:p w14:paraId="4465DB42" w14:textId="77777777" w:rsidR="00DC4529" w:rsidRPr="00C32D54" w:rsidRDefault="00DC4529" w:rsidP="00C32D54">
      <w:pPr>
        <w:keepNext/>
        <w:keepLines/>
        <w:spacing w:before="320" w:after="320"/>
        <w:ind w:firstLine="708"/>
        <w:jc w:val="both"/>
        <w:outlineLvl w:val="0"/>
        <w:rPr>
          <w:rFonts w:cs="Arial"/>
          <w:b/>
          <w:color w:val="2B3583"/>
          <w:sz w:val="24"/>
        </w:rPr>
      </w:pPr>
      <w:r w:rsidRPr="00C32D54">
        <w:rPr>
          <w:rFonts w:cs="Arial"/>
          <w:b/>
          <w:color w:val="2B3583"/>
          <w:sz w:val="24"/>
        </w:rPr>
        <w:lastRenderedPageBreak/>
        <w:t xml:space="preserve">Mobilité impliquant exclusivement un allongement de la distance domicile-travail </w:t>
      </w:r>
    </w:p>
    <w:p w14:paraId="12995BF4" w14:textId="77777777" w:rsidR="00DC4529" w:rsidRPr="00DB084C" w:rsidRDefault="00DC4529" w:rsidP="00DC4529">
      <w:pPr>
        <w:spacing w:before="240" w:after="240"/>
        <w:rPr>
          <w:bCs/>
          <w:iCs/>
          <w:szCs w:val="20"/>
        </w:rPr>
      </w:pPr>
      <w:r w:rsidRPr="00DB084C">
        <w:rPr>
          <w:bCs/>
          <w:iCs/>
          <w:szCs w:val="20"/>
        </w:rPr>
        <w:t>Lorsque l’agent ne change pas de résidence familiale, le montant de l’indemnité de mobilité est fixé en fonction de l’allongement de la distance aller-retour entre la résidence familiale et le nouveau lieu de travail de l’agent.</w:t>
      </w:r>
    </w:p>
    <w:p w14:paraId="2069657A" w14:textId="77777777" w:rsidR="00DC4529" w:rsidRPr="00DB084C" w:rsidRDefault="00DC4529" w:rsidP="00DC4529">
      <w:pPr>
        <w:spacing w:before="240" w:after="240"/>
        <w:rPr>
          <w:bCs/>
          <w:iCs/>
          <w:szCs w:val="20"/>
        </w:rPr>
      </w:pPr>
      <w:r w:rsidRPr="00DB084C">
        <w:rPr>
          <w:bCs/>
          <w:iCs/>
          <w:szCs w:val="20"/>
        </w:rPr>
        <w:t>L’allongement de la distance entre la résidence familiale et le nouveau lieu de travail de l’agent correspond à la différence kilométrique constatée d’après l’itinéraire le plus court par la route entre, d’une part, la résidence familiale et l’ancien lieu de travail et, d’autre part, la résidence familiale et le nouveau lieu de travail.</w:t>
      </w:r>
    </w:p>
    <w:p w14:paraId="0666B7E4" w14:textId="77777777" w:rsidR="00DC4529" w:rsidRPr="00DB084C" w:rsidRDefault="00DC4529" w:rsidP="00DC4529">
      <w:pPr>
        <w:spacing w:before="240" w:after="240"/>
        <w:rPr>
          <w:bCs/>
          <w:iCs/>
          <w:szCs w:val="20"/>
        </w:rPr>
      </w:pPr>
      <w:r w:rsidRPr="00DB084C">
        <w:rPr>
          <w:bCs/>
          <w:iCs/>
          <w:szCs w:val="20"/>
        </w:rPr>
        <w:t>Pour les agents qui changent de lieu de travail sans changer de résidence familiale, les plafonds de l’indemnité de mobilité qui peut leur être versée sont fixés ainsi qu’il suit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5"/>
        <w:gridCol w:w="4950"/>
      </w:tblGrid>
      <w:tr w:rsidR="00032E5A" w:rsidRPr="00D72545" w14:paraId="11705999" w14:textId="77777777" w:rsidTr="00077C84">
        <w:trPr>
          <w:trHeight w:val="567"/>
        </w:trPr>
        <w:tc>
          <w:tcPr>
            <w:tcW w:w="5064" w:type="dxa"/>
            <w:shd w:val="clear" w:color="auto" w:fill="2B3583"/>
            <w:vAlign w:val="center"/>
          </w:tcPr>
          <w:p w14:paraId="2DA94CA4" w14:textId="4CA41832" w:rsidR="00DC4529" w:rsidRPr="00C32D54" w:rsidRDefault="00DC4529" w:rsidP="003808D5">
            <w:pPr>
              <w:spacing w:before="120"/>
              <w:ind w:right="-109"/>
              <w:jc w:val="center"/>
              <w:rPr>
                <w:rFonts w:cs="Arial"/>
                <w:b/>
                <w:color w:val="FFFFFF" w:themeColor="background1"/>
                <w:szCs w:val="20"/>
              </w:rPr>
            </w:pPr>
            <w:r w:rsidRPr="00C32D54">
              <w:rPr>
                <w:rFonts w:cs="Arial"/>
                <w:b/>
                <w:color w:val="FFFFFF" w:themeColor="background1"/>
                <w:szCs w:val="20"/>
              </w:rPr>
              <w:t>A</w:t>
            </w:r>
            <w:r w:rsidR="00032E5A">
              <w:rPr>
                <w:rFonts w:cs="Arial"/>
                <w:b/>
                <w:color w:val="FFFFFF" w:themeColor="background1"/>
                <w:szCs w:val="20"/>
              </w:rPr>
              <w:t>LLONGEMENT DE LA DISTANCE ALLER – RETOUR ENTRE LA RÉSIDENCE FAMILIALE ET LE NOUVEAU LEU DE TRAVAIL</w:t>
            </w:r>
          </w:p>
        </w:tc>
        <w:tc>
          <w:tcPr>
            <w:tcW w:w="5067" w:type="dxa"/>
            <w:shd w:val="clear" w:color="auto" w:fill="2B3583"/>
            <w:vAlign w:val="center"/>
          </w:tcPr>
          <w:p w14:paraId="52EE0CDD" w14:textId="2148EBBA" w:rsidR="00DC4529" w:rsidRPr="00C32D54" w:rsidRDefault="00DC4529" w:rsidP="003808D5">
            <w:pPr>
              <w:spacing w:before="120"/>
              <w:ind w:right="-109"/>
              <w:jc w:val="center"/>
              <w:rPr>
                <w:rFonts w:cs="Arial"/>
                <w:b/>
                <w:color w:val="FFFFFF" w:themeColor="background1"/>
                <w:szCs w:val="20"/>
              </w:rPr>
            </w:pPr>
            <w:r w:rsidRPr="00C32D54">
              <w:rPr>
                <w:rFonts w:cs="Arial"/>
                <w:b/>
                <w:color w:val="FFFFFF" w:themeColor="background1"/>
                <w:szCs w:val="20"/>
              </w:rPr>
              <w:t>M</w:t>
            </w:r>
            <w:r w:rsidR="00032E5A">
              <w:rPr>
                <w:rFonts w:cs="Arial"/>
                <w:b/>
                <w:color w:val="FFFFFF" w:themeColor="background1"/>
                <w:szCs w:val="20"/>
              </w:rPr>
              <w:t>ONTANT PLAFOND DE L’INDEMNITÉ DE MOBILITÉ</w:t>
            </w:r>
          </w:p>
        </w:tc>
      </w:tr>
      <w:tr w:rsidR="00032E5A" w:rsidRPr="00D72545" w14:paraId="363ABF07" w14:textId="77777777" w:rsidTr="003808D5">
        <w:trPr>
          <w:trHeight w:val="567"/>
        </w:trPr>
        <w:tc>
          <w:tcPr>
            <w:tcW w:w="5064" w:type="dxa"/>
            <w:shd w:val="clear" w:color="auto" w:fill="auto"/>
            <w:vAlign w:val="center"/>
          </w:tcPr>
          <w:p w14:paraId="1E29F7DC" w14:textId="77777777" w:rsidR="00DC4529" w:rsidRPr="00DB084C" w:rsidRDefault="00DC4529" w:rsidP="003808D5">
            <w:pPr>
              <w:jc w:val="center"/>
              <w:rPr>
                <w:bCs/>
                <w:iCs/>
                <w:szCs w:val="20"/>
              </w:rPr>
            </w:pPr>
            <w:r w:rsidRPr="00DB084C">
              <w:rPr>
                <w:bCs/>
                <w:iCs/>
                <w:szCs w:val="20"/>
              </w:rPr>
              <w:t>Inférieur à 20 km</w:t>
            </w:r>
          </w:p>
        </w:tc>
        <w:tc>
          <w:tcPr>
            <w:tcW w:w="5067" w:type="dxa"/>
            <w:shd w:val="clear" w:color="auto" w:fill="auto"/>
            <w:vAlign w:val="center"/>
          </w:tcPr>
          <w:p w14:paraId="4B166C04" w14:textId="77777777" w:rsidR="00DC4529" w:rsidRPr="00DB084C" w:rsidRDefault="00DC4529" w:rsidP="003808D5">
            <w:pPr>
              <w:jc w:val="center"/>
              <w:rPr>
                <w:bCs/>
                <w:iCs/>
                <w:szCs w:val="20"/>
              </w:rPr>
            </w:pPr>
            <w:r w:rsidRPr="00DB084C">
              <w:rPr>
                <w:bCs/>
                <w:iCs/>
                <w:szCs w:val="20"/>
              </w:rPr>
              <w:t xml:space="preserve">Pas de versement </w:t>
            </w:r>
          </w:p>
        </w:tc>
      </w:tr>
      <w:tr w:rsidR="00032E5A" w:rsidRPr="00D72545" w14:paraId="71B00AA5" w14:textId="77777777" w:rsidTr="003808D5">
        <w:trPr>
          <w:trHeight w:val="567"/>
        </w:trPr>
        <w:tc>
          <w:tcPr>
            <w:tcW w:w="5064" w:type="dxa"/>
            <w:shd w:val="clear" w:color="auto" w:fill="auto"/>
            <w:vAlign w:val="center"/>
          </w:tcPr>
          <w:p w14:paraId="06BF46C3" w14:textId="77777777" w:rsidR="00DC4529" w:rsidRPr="00DB084C" w:rsidRDefault="00DC4529" w:rsidP="003808D5">
            <w:pPr>
              <w:jc w:val="center"/>
              <w:rPr>
                <w:bCs/>
                <w:iCs/>
                <w:szCs w:val="20"/>
              </w:rPr>
            </w:pPr>
            <w:r w:rsidRPr="00DB084C">
              <w:rPr>
                <w:bCs/>
                <w:iCs/>
                <w:szCs w:val="20"/>
              </w:rPr>
              <w:t>Compris entre 20 et 40 km</w:t>
            </w:r>
          </w:p>
        </w:tc>
        <w:tc>
          <w:tcPr>
            <w:tcW w:w="5067" w:type="dxa"/>
            <w:shd w:val="clear" w:color="auto" w:fill="auto"/>
            <w:vAlign w:val="center"/>
          </w:tcPr>
          <w:p w14:paraId="730A6ACC" w14:textId="77777777" w:rsidR="00DC4529" w:rsidRPr="00DB084C" w:rsidRDefault="00DC4529" w:rsidP="003808D5">
            <w:pPr>
              <w:jc w:val="center"/>
              <w:rPr>
                <w:bCs/>
                <w:iCs/>
                <w:szCs w:val="20"/>
              </w:rPr>
            </w:pPr>
            <w:r>
              <w:rPr>
                <w:bCs/>
                <w:iCs/>
                <w:szCs w:val="20"/>
              </w:rPr>
              <w:t xml:space="preserve">1 600 euros </w:t>
            </w:r>
          </w:p>
        </w:tc>
      </w:tr>
      <w:tr w:rsidR="00032E5A" w:rsidRPr="00D72545" w14:paraId="4F876AA8" w14:textId="77777777" w:rsidTr="003808D5">
        <w:trPr>
          <w:trHeight w:val="567"/>
        </w:trPr>
        <w:tc>
          <w:tcPr>
            <w:tcW w:w="5064" w:type="dxa"/>
            <w:shd w:val="clear" w:color="auto" w:fill="auto"/>
            <w:vAlign w:val="center"/>
          </w:tcPr>
          <w:p w14:paraId="09954392" w14:textId="77777777" w:rsidR="00DC4529" w:rsidRPr="00DB084C" w:rsidRDefault="00DC4529" w:rsidP="003808D5">
            <w:pPr>
              <w:jc w:val="center"/>
              <w:rPr>
                <w:bCs/>
                <w:iCs/>
                <w:szCs w:val="20"/>
              </w:rPr>
            </w:pPr>
            <w:r w:rsidRPr="00DB084C">
              <w:rPr>
                <w:bCs/>
                <w:iCs/>
                <w:szCs w:val="20"/>
              </w:rPr>
              <w:t>Compris entre 40 et 60 Km</w:t>
            </w:r>
          </w:p>
        </w:tc>
        <w:tc>
          <w:tcPr>
            <w:tcW w:w="5067" w:type="dxa"/>
            <w:shd w:val="clear" w:color="auto" w:fill="auto"/>
            <w:vAlign w:val="center"/>
          </w:tcPr>
          <w:p w14:paraId="3E4DF39C" w14:textId="77777777" w:rsidR="00DC4529" w:rsidRPr="00DB084C" w:rsidRDefault="00DC4529" w:rsidP="003808D5">
            <w:pPr>
              <w:jc w:val="center"/>
              <w:rPr>
                <w:bCs/>
                <w:iCs/>
                <w:szCs w:val="20"/>
              </w:rPr>
            </w:pPr>
            <w:r>
              <w:rPr>
                <w:bCs/>
                <w:iCs/>
                <w:szCs w:val="20"/>
              </w:rPr>
              <w:t xml:space="preserve">2 700 euros </w:t>
            </w:r>
          </w:p>
        </w:tc>
      </w:tr>
      <w:tr w:rsidR="00032E5A" w:rsidRPr="00D72545" w14:paraId="360E8D51" w14:textId="77777777" w:rsidTr="003808D5">
        <w:trPr>
          <w:trHeight w:val="567"/>
        </w:trPr>
        <w:tc>
          <w:tcPr>
            <w:tcW w:w="5064" w:type="dxa"/>
            <w:shd w:val="clear" w:color="auto" w:fill="auto"/>
            <w:vAlign w:val="center"/>
          </w:tcPr>
          <w:p w14:paraId="191397B5" w14:textId="77777777" w:rsidR="00DC4529" w:rsidRPr="00DB084C" w:rsidRDefault="00DC4529" w:rsidP="003808D5">
            <w:pPr>
              <w:jc w:val="center"/>
              <w:rPr>
                <w:bCs/>
                <w:iCs/>
                <w:szCs w:val="20"/>
              </w:rPr>
            </w:pPr>
            <w:r w:rsidRPr="00DB084C">
              <w:rPr>
                <w:bCs/>
                <w:iCs/>
                <w:szCs w:val="20"/>
              </w:rPr>
              <w:t>Compris entre 60 et 90 Km</w:t>
            </w:r>
          </w:p>
        </w:tc>
        <w:tc>
          <w:tcPr>
            <w:tcW w:w="5067" w:type="dxa"/>
            <w:shd w:val="clear" w:color="auto" w:fill="auto"/>
            <w:vAlign w:val="center"/>
          </w:tcPr>
          <w:p w14:paraId="1FAFCB14" w14:textId="77777777" w:rsidR="00DC4529" w:rsidRPr="00DB084C" w:rsidRDefault="00DC4529" w:rsidP="003808D5">
            <w:pPr>
              <w:jc w:val="center"/>
              <w:rPr>
                <w:bCs/>
                <w:iCs/>
                <w:szCs w:val="20"/>
              </w:rPr>
            </w:pPr>
            <w:r>
              <w:rPr>
                <w:bCs/>
                <w:iCs/>
                <w:szCs w:val="20"/>
              </w:rPr>
              <w:t xml:space="preserve">3 800 euros </w:t>
            </w:r>
          </w:p>
        </w:tc>
      </w:tr>
      <w:tr w:rsidR="00032E5A" w:rsidRPr="00D72545" w14:paraId="129F2EEF" w14:textId="77777777" w:rsidTr="003808D5">
        <w:trPr>
          <w:trHeight w:val="567"/>
        </w:trPr>
        <w:tc>
          <w:tcPr>
            <w:tcW w:w="5064" w:type="dxa"/>
            <w:shd w:val="clear" w:color="auto" w:fill="auto"/>
            <w:vAlign w:val="center"/>
          </w:tcPr>
          <w:p w14:paraId="6750281A" w14:textId="77777777" w:rsidR="00DC4529" w:rsidRPr="00DB084C" w:rsidRDefault="00DC4529" w:rsidP="003808D5">
            <w:pPr>
              <w:jc w:val="center"/>
              <w:rPr>
                <w:bCs/>
                <w:iCs/>
                <w:szCs w:val="20"/>
              </w:rPr>
            </w:pPr>
            <w:r w:rsidRPr="00DB084C">
              <w:rPr>
                <w:bCs/>
                <w:iCs/>
                <w:szCs w:val="20"/>
              </w:rPr>
              <w:t>Egal ou supérieur à 90 Km</w:t>
            </w:r>
          </w:p>
        </w:tc>
        <w:tc>
          <w:tcPr>
            <w:tcW w:w="5067" w:type="dxa"/>
            <w:shd w:val="clear" w:color="auto" w:fill="auto"/>
            <w:vAlign w:val="center"/>
          </w:tcPr>
          <w:p w14:paraId="091F58D2" w14:textId="77777777" w:rsidR="00DC4529" w:rsidRPr="00DB084C" w:rsidRDefault="00DC4529" w:rsidP="003808D5">
            <w:pPr>
              <w:jc w:val="center"/>
              <w:rPr>
                <w:bCs/>
                <w:iCs/>
                <w:szCs w:val="20"/>
              </w:rPr>
            </w:pPr>
            <w:r>
              <w:rPr>
                <w:bCs/>
                <w:iCs/>
                <w:szCs w:val="20"/>
              </w:rPr>
              <w:t xml:space="preserve">6 000 euros </w:t>
            </w:r>
          </w:p>
        </w:tc>
      </w:tr>
    </w:tbl>
    <w:p w14:paraId="7FD8349A" w14:textId="77777777" w:rsidR="00DC4529" w:rsidRPr="00C32D54" w:rsidRDefault="00DC4529" w:rsidP="00DC4529">
      <w:pPr>
        <w:spacing w:before="240"/>
        <w:rPr>
          <w:rFonts w:eastAsia="Times New Roman"/>
          <w:b/>
          <w:i/>
          <w:color w:val="2B3583"/>
          <w:spacing w:val="5"/>
          <w:kern w:val="28"/>
          <w:szCs w:val="20"/>
        </w:rPr>
      </w:pPr>
      <w:r w:rsidRPr="00C32D54">
        <w:rPr>
          <w:rFonts w:eastAsia="Times New Roman"/>
          <w:b/>
          <w:i/>
          <w:color w:val="2B3583"/>
          <w:spacing w:val="5"/>
          <w:kern w:val="28"/>
          <w:szCs w:val="20"/>
        </w:rPr>
        <w:t>(Il s'agit de montants plafonds : L'organe délibérant peut donc décider de fixer des montants moins élevés)</w:t>
      </w:r>
    </w:p>
    <w:p w14:paraId="2466F77A" w14:textId="77777777" w:rsidR="00DC4529" w:rsidRDefault="00DC4529" w:rsidP="00DC4529">
      <w:pPr>
        <w:jc w:val="both"/>
        <w:rPr>
          <w:bCs/>
          <w:iCs/>
          <w:szCs w:val="20"/>
        </w:rPr>
      </w:pPr>
    </w:p>
    <w:p w14:paraId="1D30BCCB" w14:textId="77777777" w:rsidR="00DC4529" w:rsidRDefault="00DC4529" w:rsidP="00DC4529">
      <w:r w:rsidRPr="00E55D90">
        <w:t>L’indemnité de mobilité est versée au plus tard dans l’année qui suit l’affectation de l’agent sur son nouveau lieu de travail.</w:t>
      </w:r>
    </w:p>
    <w:p w14:paraId="71C7776F" w14:textId="77777777" w:rsidR="00DC4529" w:rsidRPr="00C32D54" w:rsidRDefault="00DC4529" w:rsidP="00C32D54">
      <w:pPr>
        <w:keepNext/>
        <w:keepLines/>
        <w:spacing w:before="320" w:after="320"/>
        <w:ind w:firstLine="708"/>
        <w:jc w:val="both"/>
        <w:outlineLvl w:val="0"/>
        <w:rPr>
          <w:rFonts w:cs="Arial"/>
          <w:b/>
          <w:color w:val="2B3583"/>
          <w:sz w:val="24"/>
        </w:rPr>
      </w:pPr>
      <w:r w:rsidRPr="00C32D54">
        <w:rPr>
          <w:rFonts w:cs="Arial"/>
          <w:b/>
          <w:color w:val="2B3583"/>
          <w:sz w:val="24"/>
        </w:rPr>
        <w:t xml:space="preserve">Détermination de l'indemnité en fonction du temps de travail de l'agent </w:t>
      </w:r>
    </w:p>
    <w:p w14:paraId="0C3DC64D" w14:textId="77777777" w:rsidR="00DC4529" w:rsidRPr="00DB084C" w:rsidRDefault="00DC4529" w:rsidP="00DC4529">
      <w:pPr>
        <w:spacing w:before="240" w:after="240"/>
        <w:rPr>
          <w:bCs/>
          <w:iCs/>
          <w:szCs w:val="20"/>
        </w:rPr>
      </w:pPr>
      <w:r w:rsidRPr="00DB084C">
        <w:rPr>
          <w:bCs/>
          <w:iCs/>
          <w:szCs w:val="20"/>
        </w:rPr>
        <w:t xml:space="preserve">Lorsque l’agent exerce ses missions à temps partiel ou à temps non complet pour un nombre d’heures égal ou supérieur à la moitié de la durée légale ou réglementaire du temps de travail, il bénéficie de l’indemnité de mobilité dans les mêmes conditions que s’il travaillait à temps plein. </w:t>
      </w:r>
    </w:p>
    <w:p w14:paraId="38ED3DE2" w14:textId="77777777" w:rsidR="00DC4529" w:rsidRPr="00DB084C" w:rsidRDefault="00DC4529" w:rsidP="00DC4529">
      <w:pPr>
        <w:spacing w:before="240" w:after="240"/>
        <w:rPr>
          <w:bCs/>
          <w:iCs/>
          <w:color w:val="83244E"/>
          <w:szCs w:val="20"/>
        </w:rPr>
      </w:pPr>
      <w:r w:rsidRPr="00DB084C">
        <w:rPr>
          <w:bCs/>
          <w:iCs/>
          <w:szCs w:val="20"/>
        </w:rPr>
        <w:t>Lorsque le nombre d’heures travaillées est inférieur à la moitié de la durée légale ou réglementaire du temps de travail, l’indemnité de mobilité est égale à la moitié de celle de l’agent travaillant à temps plein.</w:t>
      </w:r>
    </w:p>
    <w:p w14:paraId="006BCCA4" w14:textId="77777777" w:rsidR="00DC4529" w:rsidRPr="00C32D54" w:rsidRDefault="00DC4529" w:rsidP="00C32D54">
      <w:pPr>
        <w:keepNext/>
        <w:keepLines/>
        <w:spacing w:before="320" w:after="320"/>
        <w:ind w:firstLine="708"/>
        <w:jc w:val="both"/>
        <w:outlineLvl w:val="0"/>
        <w:rPr>
          <w:rFonts w:cs="Arial"/>
          <w:b/>
          <w:color w:val="2B3583"/>
          <w:sz w:val="24"/>
        </w:rPr>
      </w:pPr>
      <w:r w:rsidRPr="00C32D54">
        <w:rPr>
          <w:rFonts w:cs="Arial"/>
          <w:b/>
          <w:color w:val="2B3583"/>
          <w:sz w:val="24"/>
        </w:rPr>
        <w:lastRenderedPageBreak/>
        <w:t>Cas de l'agent ayant plusieurs lieux de travail ou employeurs différents</w:t>
      </w:r>
    </w:p>
    <w:p w14:paraId="42965245" w14:textId="77777777" w:rsidR="00DC4529" w:rsidRPr="00DB084C" w:rsidRDefault="00DC4529" w:rsidP="00DC4529">
      <w:pPr>
        <w:spacing w:before="240" w:after="240"/>
        <w:rPr>
          <w:bCs/>
          <w:iCs/>
          <w:szCs w:val="20"/>
        </w:rPr>
      </w:pPr>
      <w:r w:rsidRPr="00DB084C">
        <w:rPr>
          <w:bCs/>
          <w:iCs/>
          <w:szCs w:val="20"/>
        </w:rPr>
        <w:t xml:space="preserve">Lorsque l’agent relève d’un même employeur public et qu’il est affecté sur plusieurs lieux de travail, l’indemnité de mobilité tient compte de l’ensemble de l’allongement des déplacements entre sa résidence familiale et ses différents lieux de travail. </w:t>
      </w:r>
    </w:p>
    <w:p w14:paraId="1BDEFEBB" w14:textId="77777777" w:rsidR="00DC4529" w:rsidRDefault="00DC4529" w:rsidP="00DC4529">
      <w:pPr>
        <w:spacing w:before="240" w:after="240"/>
        <w:rPr>
          <w:bCs/>
          <w:iCs/>
          <w:szCs w:val="20"/>
        </w:rPr>
      </w:pPr>
      <w:r w:rsidRPr="00DB084C">
        <w:rPr>
          <w:bCs/>
          <w:iCs/>
          <w:szCs w:val="20"/>
        </w:rPr>
        <w:t>Lorsque l’agent a plusieurs employeurs publics, la participation de chacun des employeurs est calculée au prorata du temps travaillé auprès de chaque employeur.</w:t>
      </w:r>
    </w:p>
    <w:p w14:paraId="54DF0CD2" w14:textId="77777777" w:rsidR="00DC4529" w:rsidRPr="00C32D54" w:rsidRDefault="00DC4529" w:rsidP="00C32D54">
      <w:pPr>
        <w:keepNext/>
        <w:keepLines/>
        <w:spacing w:before="320" w:after="320"/>
        <w:ind w:firstLine="708"/>
        <w:jc w:val="both"/>
        <w:outlineLvl w:val="0"/>
        <w:rPr>
          <w:rFonts w:cs="Arial"/>
          <w:b/>
          <w:color w:val="2B3583"/>
          <w:sz w:val="24"/>
        </w:rPr>
      </w:pPr>
      <w:r w:rsidRPr="00C32D54">
        <w:rPr>
          <w:rFonts w:cs="Arial"/>
          <w:b/>
          <w:color w:val="2B3583"/>
          <w:sz w:val="24"/>
        </w:rPr>
        <w:t>Cas du remboursement de l'indemnité par l'agent</w:t>
      </w:r>
    </w:p>
    <w:p w14:paraId="0BFBB9AC" w14:textId="7CCF97D5" w:rsidR="00DC4529" w:rsidRDefault="00DC4529" w:rsidP="00DC4529">
      <w:pPr>
        <w:spacing w:before="240" w:after="240" w:line="240" w:lineRule="auto"/>
        <w:rPr>
          <w:rFonts w:eastAsia="Times New Roman" w:cs="Arial"/>
        </w:rPr>
      </w:pPr>
      <w:r w:rsidRPr="00E55D90">
        <w:rPr>
          <w:rFonts w:eastAsia="Times New Roman" w:cs="Arial"/>
        </w:rPr>
        <w:t>Si le bénéficiaire de cette indemnité quitte volontairement son nouveau lieu de travail avant l’expiration d’un délai</w:t>
      </w:r>
      <w:r w:rsidR="006A4E8A">
        <w:rPr>
          <w:rFonts w:eastAsia="Times New Roman" w:cs="Arial"/>
        </w:rPr>
        <w:t xml:space="preserve"> maximal</w:t>
      </w:r>
      <w:r>
        <w:rPr>
          <w:rFonts w:eastAsia="Times New Roman" w:cs="Arial"/>
        </w:rPr>
        <w:t xml:space="preserve"> de 12 mois, l'autorité territoriale pourra</w:t>
      </w:r>
      <w:r w:rsidRPr="00E55D90">
        <w:rPr>
          <w:rFonts w:eastAsia="Times New Roman" w:cs="Arial"/>
        </w:rPr>
        <w:t xml:space="preserve"> </w:t>
      </w:r>
      <w:r>
        <w:rPr>
          <w:rFonts w:eastAsia="Times New Roman" w:cs="Arial"/>
        </w:rPr>
        <w:t xml:space="preserve">lui </w:t>
      </w:r>
      <w:r w:rsidRPr="00E55D90">
        <w:rPr>
          <w:rFonts w:eastAsia="Times New Roman" w:cs="Arial"/>
        </w:rPr>
        <w:t>demande</w:t>
      </w:r>
      <w:r>
        <w:rPr>
          <w:rFonts w:eastAsia="Times New Roman" w:cs="Arial"/>
        </w:rPr>
        <w:t>r</w:t>
      </w:r>
      <w:r w:rsidRPr="00E55D90">
        <w:rPr>
          <w:rFonts w:eastAsia="Times New Roman" w:cs="Arial"/>
        </w:rPr>
        <w:t xml:space="preserve"> </w:t>
      </w:r>
      <w:r>
        <w:rPr>
          <w:rFonts w:eastAsia="Times New Roman" w:cs="Arial"/>
        </w:rPr>
        <w:t xml:space="preserve">le remboursement de l’indemnité. </w:t>
      </w:r>
    </w:p>
    <w:p w14:paraId="530EA5BE" w14:textId="77777777" w:rsidR="00DC4529" w:rsidRDefault="00DC4529" w:rsidP="00DC4529">
      <w:pPr>
        <w:spacing w:before="240" w:after="240" w:line="240" w:lineRule="auto"/>
        <w:rPr>
          <w:rFonts w:eastAsia="Times New Roman" w:cs="Arial"/>
        </w:rPr>
      </w:pPr>
    </w:p>
    <w:p w14:paraId="73F954F1" w14:textId="77777777" w:rsidR="00DC4529" w:rsidRPr="00C32D54" w:rsidRDefault="00DC4529" w:rsidP="00C32D54">
      <w:pPr>
        <w:keepNext/>
        <w:keepLines/>
        <w:spacing w:before="320" w:after="320"/>
        <w:ind w:firstLine="708"/>
        <w:jc w:val="both"/>
        <w:outlineLvl w:val="0"/>
        <w:rPr>
          <w:rFonts w:cs="Arial"/>
          <w:b/>
          <w:color w:val="2B3583"/>
          <w:sz w:val="24"/>
        </w:rPr>
      </w:pPr>
      <w:r w:rsidRPr="00C32D54">
        <w:rPr>
          <w:rFonts w:cs="Arial"/>
          <w:b/>
          <w:color w:val="2B3583"/>
          <w:sz w:val="24"/>
        </w:rPr>
        <w:t>Cas d'exclusion du dispositif</w:t>
      </w:r>
    </w:p>
    <w:p w14:paraId="3F3CA979" w14:textId="77777777" w:rsidR="00DC4529" w:rsidRDefault="00DC4529" w:rsidP="00DC4529">
      <w:pPr>
        <w:spacing w:before="240" w:after="240"/>
      </w:pPr>
      <w:r w:rsidRPr="009839D0">
        <w:t xml:space="preserve">L’indemnité de mobilité ne peut pas être attribuée : </w:t>
      </w:r>
    </w:p>
    <w:p w14:paraId="153E4D9E" w14:textId="77777777" w:rsidR="00DC4529" w:rsidRPr="009839D0" w:rsidRDefault="00DC4529" w:rsidP="00DC4529">
      <w:pPr>
        <w:pStyle w:val="Paragraphedeliste"/>
        <w:ind w:left="1418" w:hanging="284"/>
        <w:rPr>
          <w:rFonts w:eastAsia="MS Gothic"/>
          <w:bCs/>
          <w:iCs/>
          <w:szCs w:val="20"/>
        </w:rPr>
      </w:pPr>
      <w:r w:rsidRPr="009839D0">
        <w:t>A l’agent percevant des indemnités représentatives de frais pour ses déplacements entre sa résidence familiale et son lieu de travail ;</w:t>
      </w:r>
    </w:p>
    <w:p w14:paraId="123464E4" w14:textId="77777777" w:rsidR="00DC4529" w:rsidRPr="009839D0" w:rsidRDefault="00DC4529" w:rsidP="00DC4529">
      <w:pPr>
        <w:pStyle w:val="Paragraphedeliste"/>
        <w:ind w:left="1418" w:hanging="284"/>
        <w:rPr>
          <w:rFonts w:eastAsia="MS Gothic"/>
          <w:bCs/>
          <w:iCs/>
          <w:szCs w:val="20"/>
        </w:rPr>
      </w:pPr>
      <w:r w:rsidRPr="009839D0">
        <w:t>A l’agent bénéficiant d’un logement de fonction et qui ne supporte aucuns frais de transport pour se rendre sur son lieu de travail ;</w:t>
      </w:r>
    </w:p>
    <w:p w14:paraId="7F0F4508" w14:textId="77777777" w:rsidR="00DC4529" w:rsidRPr="009839D0" w:rsidRDefault="00DC4529" w:rsidP="00DC4529">
      <w:pPr>
        <w:pStyle w:val="Paragraphedeliste"/>
        <w:ind w:left="1418" w:hanging="284"/>
        <w:rPr>
          <w:rFonts w:eastAsia="MS Gothic"/>
          <w:bCs/>
          <w:iCs/>
          <w:szCs w:val="20"/>
        </w:rPr>
      </w:pPr>
      <w:r w:rsidRPr="009839D0">
        <w:t>A l’agent bénéficiant d’un véhicule de fonction ;</w:t>
      </w:r>
    </w:p>
    <w:p w14:paraId="07D84BAE" w14:textId="77777777" w:rsidR="00DC4529" w:rsidRPr="009839D0" w:rsidRDefault="00DC4529" w:rsidP="00DC4529">
      <w:pPr>
        <w:pStyle w:val="Paragraphedeliste"/>
        <w:ind w:left="1418" w:hanging="284"/>
        <w:rPr>
          <w:rFonts w:eastAsia="MS Gothic"/>
          <w:bCs/>
          <w:iCs/>
          <w:szCs w:val="20"/>
        </w:rPr>
      </w:pPr>
      <w:r w:rsidRPr="009839D0">
        <w:t>A l’agent bénéficiant d’un transport collectif gratuit entre son domicile et son lieu de travail ;</w:t>
      </w:r>
    </w:p>
    <w:p w14:paraId="0FDC0AC9" w14:textId="77777777" w:rsidR="00DC4529" w:rsidRPr="009839D0" w:rsidRDefault="00DC4529" w:rsidP="00DC4529">
      <w:pPr>
        <w:pStyle w:val="Paragraphedeliste"/>
        <w:ind w:left="1418" w:hanging="284"/>
        <w:rPr>
          <w:rFonts w:eastAsia="MS Gothic"/>
          <w:bCs/>
          <w:iCs/>
          <w:szCs w:val="20"/>
        </w:rPr>
      </w:pPr>
      <w:r w:rsidRPr="009839D0">
        <w:t>A l’agent transporté gratuitement par son employeur ;</w:t>
      </w:r>
    </w:p>
    <w:p w14:paraId="079679D2" w14:textId="77777777" w:rsidR="00DC4529" w:rsidRPr="009839D0" w:rsidRDefault="00DC4529" w:rsidP="00DC4529">
      <w:pPr>
        <w:pStyle w:val="Paragraphedeliste"/>
        <w:ind w:left="1418" w:hanging="284"/>
        <w:rPr>
          <w:rFonts w:eastAsia="MS Gothic"/>
          <w:bCs/>
          <w:iCs/>
          <w:szCs w:val="20"/>
        </w:rPr>
      </w:pPr>
      <w:r w:rsidRPr="009839D0">
        <w:rPr>
          <w:rFonts w:eastAsia="MS Gothic"/>
          <w:bCs/>
          <w:iCs/>
          <w:szCs w:val="20"/>
        </w:rPr>
        <w:t>L'indemnité de mobilité est exclusive de toute autre indemnité ayant le même objet.</w:t>
      </w:r>
    </w:p>
    <w:p w14:paraId="65DDAD83" w14:textId="77777777" w:rsidR="001010F1" w:rsidRDefault="001010F1" w:rsidP="003C4D77">
      <w:pPr>
        <w:spacing w:line="259" w:lineRule="auto"/>
        <w:jc w:val="both"/>
        <w:rPr>
          <w:b/>
          <w:bCs/>
        </w:rPr>
      </w:pPr>
    </w:p>
    <w:p w14:paraId="4D7209BF" w14:textId="77777777" w:rsidR="00DC4529" w:rsidRDefault="00DC4529" w:rsidP="00152B1E">
      <w:pPr>
        <w:jc w:val="center"/>
        <w:outlineLvl w:val="0"/>
        <w:rPr>
          <w:rFonts w:ascii="Calibri" w:hAnsi="Calibri" w:cs="Calibri"/>
          <w:sz w:val="22"/>
          <w:szCs w:val="22"/>
        </w:rPr>
      </w:pPr>
    </w:p>
    <w:p w14:paraId="573389C7" w14:textId="77777777" w:rsidR="00DC4529" w:rsidRDefault="00DC4529" w:rsidP="00152B1E">
      <w:pPr>
        <w:jc w:val="center"/>
        <w:outlineLvl w:val="0"/>
        <w:rPr>
          <w:rFonts w:ascii="Calibri" w:hAnsi="Calibri" w:cs="Calibri"/>
          <w:sz w:val="22"/>
          <w:szCs w:val="22"/>
        </w:rPr>
      </w:pPr>
    </w:p>
    <w:p w14:paraId="48854532" w14:textId="4C1579F2" w:rsidR="00E25266" w:rsidRDefault="00510A39" w:rsidP="00E42ED0">
      <w:pPr>
        <w:jc w:val="center"/>
        <w:outlineLvl w:val="0"/>
        <w:rPr>
          <w:rFonts w:ascii="Calibri" w:hAnsi="Calibri" w:cs="Calibri"/>
          <w:b/>
          <w:bCs/>
          <w:sz w:val="22"/>
          <w:szCs w:val="22"/>
        </w:rPr>
      </w:pPr>
      <w:r w:rsidRPr="00C9434D">
        <w:rPr>
          <w:rFonts w:ascii="Calibri" w:hAnsi="Calibri" w:cs="Calibri"/>
          <w:sz w:val="22"/>
          <w:szCs w:val="22"/>
        </w:rPr>
        <w:sym w:font="Wingdings" w:char="F0DC"/>
      </w:r>
      <w:r w:rsidRPr="00C9434D">
        <w:rPr>
          <w:rFonts w:ascii="Calibri" w:hAnsi="Calibri" w:cs="Calibri"/>
          <w:sz w:val="22"/>
          <w:szCs w:val="22"/>
        </w:rPr>
        <w:t xml:space="preserve">  </w:t>
      </w:r>
      <w:r w:rsidRPr="00C9434D">
        <w:rPr>
          <w:rFonts w:ascii="Calibri" w:hAnsi="Calibri" w:cs="Calibri"/>
          <w:b/>
          <w:bCs/>
          <w:sz w:val="22"/>
          <w:szCs w:val="22"/>
        </w:rPr>
        <w:t xml:space="preserve">Le Maire </w:t>
      </w:r>
      <w:r w:rsidRPr="00C9434D">
        <w:rPr>
          <w:rFonts w:ascii="Calibri" w:hAnsi="Calibri" w:cs="Calibri"/>
          <w:b/>
          <w:bCs/>
          <w:i/>
          <w:iCs/>
          <w:sz w:val="22"/>
          <w:szCs w:val="22"/>
        </w:rPr>
        <w:t>(ou le Président)</w:t>
      </w:r>
      <w:r w:rsidRPr="00C9434D">
        <w:rPr>
          <w:rFonts w:ascii="Calibri" w:hAnsi="Calibri" w:cs="Calibri"/>
          <w:b/>
          <w:bCs/>
          <w:sz w:val="22"/>
          <w:szCs w:val="22"/>
        </w:rPr>
        <w:t xml:space="preserve"> propose à l’assemblée </w:t>
      </w:r>
      <w:r w:rsidR="00E42ED0">
        <w:rPr>
          <w:rFonts w:ascii="Calibri" w:hAnsi="Calibri" w:cs="Calibri"/>
          <w:b/>
          <w:bCs/>
          <w:sz w:val="22"/>
          <w:szCs w:val="22"/>
        </w:rPr>
        <w:t xml:space="preserve"> d’instaurer l’indemnité de mobilité selon les critères  et plafonds présentés.</w:t>
      </w:r>
    </w:p>
    <w:p w14:paraId="22893E6B" w14:textId="77777777" w:rsidR="00E42ED0" w:rsidRDefault="00E42ED0" w:rsidP="00E42ED0">
      <w:pPr>
        <w:jc w:val="center"/>
        <w:outlineLvl w:val="0"/>
        <w:rPr>
          <w:rFonts w:ascii="Calibri" w:hAnsi="Calibri" w:cs="Calibri"/>
          <w:b/>
          <w:bCs/>
          <w:sz w:val="22"/>
          <w:szCs w:val="22"/>
        </w:rPr>
      </w:pPr>
    </w:p>
    <w:p w14:paraId="6F836DC1" w14:textId="77777777" w:rsidR="00E42ED0" w:rsidRDefault="00E42ED0" w:rsidP="00E42ED0">
      <w:pPr>
        <w:jc w:val="center"/>
        <w:outlineLvl w:val="0"/>
        <w:rPr>
          <w:rFonts w:ascii="Calibri" w:hAnsi="Calibri"/>
          <w:b/>
          <w:iCs/>
          <w:sz w:val="22"/>
          <w:szCs w:val="22"/>
        </w:rPr>
      </w:pPr>
    </w:p>
    <w:p w14:paraId="465CF9CD" w14:textId="77777777" w:rsidR="00E25266" w:rsidRPr="000B765A" w:rsidRDefault="00E25266" w:rsidP="00E25266">
      <w:pPr>
        <w:pStyle w:val="VuConsidrant"/>
        <w:spacing w:after="0"/>
        <w:ind w:hanging="426"/>
        <w:rPr>
          <w:rFonts w:ascii="Calibri" w:hAnsi="Calibri"/>
          <w:sz w:val="22"/>
          <w:szCs w:val="22"/>
        </w:rPr>
      </w:pPr>
    </w:p>
    <w:p w14:paraId="77E812EC" w14:textId="77777777" w:rsidR="00E25266" w:rsidRPr="00C9434D" w:rsidRDefault="00E25266" w:rsidP="00E25266">
      <w:pPr>
        <w:pStyle w:val="VuConsidrant"/>
        <w:spacing w:after="0"/>
        <w:jc w:val="center"/>
        <w:rPr>
          <w:rFonts w:ascii="Calibri" w:hAnsi="Calibri" w:cs="Calibri"/>
          <w:b/>
          <w:bCs/>
          <w:sz w:val="22"/>
          <w:szCs w:val="22"/>
        </w:rPr>
      </w:pPr>
      <w:r w:rsidRPr="00C9434D">
        <w:rPr>
          <w:rFonts w:ascii="Calibri" w:hAnsi="Calibri" w:cs="Calibri"/>
          <w:sz w:val="22"/>
          <w:szCs w:val="22"/>
        </w:rPr>
        <w:sym w:font="Wingdings" w:char="F0DC"/>
      </w:r>
      <w:r w:rsidRPr="00C9434D">
        <w:rPr>
          <w:rFonts w:ascii="Calibri" w:hAnsi="Calibri" w:cs="Calibri"/>
          <w:sz w:val="22"/>
          <w:szCs w:val="22"/>
        </w:rPr>
        <w:t xml:space="preserve">  </w:t>
      </w:r>
      <w:r w:rsidRPr="00C9434D">
        <w:rPr>
          <w:rFonts w:ascii="Calibri" w:hAnsi="Calibri" w:cs="Calibri"/>
          <w:b/>
          <w:bCs/>
          <w:sz w:val="22"/>
          <w:szCs w:val="22"/>
        </w:rPr>
        <w:t xml:space="preserve">Le conseil municipal </w:t>
      </w:r>
      <w:r w:rsidRPr="00C9434D">
        <w:rPr>
          <w:rFonts w:ascii="Calibri" w:hAnsi="Calibri" w:cs="Calibri"/>
          <w:b/>
          <w:bCs/>
          <w:i/>
          <w:iCs/>
          <w:sz w:val="22"/>
          <w:szCs w:val="22"/>
        </w:rPr>
        <w:t>(ou conseil syndical, conseil communautaire, conseil d’administration),</w:t>
      </w:r>
      <w:r w:rsidRPr="00C9434D">
        <w:rPr>
          <w:rFonts w:ascii="Calibri" w:hAnsi="Calibri" w:cs="Calibri"/>
          <w:b/>
          <w:bCs/>
          <w:sz w:val="22"/>
          <w:szCs w:val="22"/>
        </w:rPr>
        <w:t xml:space="preserve"> après en avoir délibéré,</w:t>
      </w:r>
    </w:p>
    <w:p w14:paraId="1D2AE5B1" w14:textId="77777777" w:rsidR="00E25266" w:rsidRPr="00C9434D" w:rsidRDefault="00E25266" w:rsidP="00E25266">
      <w:pPr>
        <w:pStyle w:val="VuConsidrant"/>
        <w:spacing w:after="0"/>
        <w:jc w:val="center"/>
        <w:rPr>
          <w:rFonts w:ascii="Calibri" w:hAnsi="Calibri" w:cs="Calibri"/>
          <w:b/>
          <w:bCs/>
          <w:sz w:val="22"/>
          <w:szCs w:val="22"/>
        </w:rPr>
      </w:pPr>
    </w:p>
    <w:p w14:paraId="11BA77D1" w14:textId="77777777" w:rsidR="00E25266" w:rsidRPr="000B765A" w:rsidRDefault="00E25266" w:rsidP="00E25266">
      <w:pPr>
        <w:pStyle w:val="VuConsidrant"/>
        <w:spacing w:after="0"/>
        <w:rPr>
          <w:rFonts w:ascii="Calibri" w:hAnsi="Calibri"/>
          <w:b/>
          <w:bCs/>
          <w:sz w:val="22"/>
          <w:szCs w:val="22"/>
        </w:rPr>
      </w:pPr>
    </w:p>
    <w:p w14:paraId="07F82754" w14:textId="21197A9A" w:rsidR="00E42ED0" w:rsidRDefault="00E42ED0" w:rsidP="00E42ED0">
      <w:pPr>
        <w:pStyle w:val="Paragraphedeliste"/>
        <w:spacing w:before="240" w:after="240"/>
      </w:pPr>
      <w:r w:rsidRPr="00EB0D29">
        <w:rPr>
          <w:b/>
        </w:rPr>
        <w:t>DECIDE</w:t>
      </w:r>
      <w:r w:rsidRPr="00EB0D29">
        <w:t xml:space="preserve"> l'instauration de l'indemnité de mobilité ;</w:t>
      </w:r>
    </w:p>
    <w:p w14:paraId="56096ACD" w14:textId="77777777" w:rsidR="00E42ED0" w:rsidRPr="00EB0D29" w:rsidRDefault="00E42ED0" w:rsidP="00E42ED0">
      <w:pPr>
        <w:pStyle w:val="Paragraphedeliste"/>
        <w:numPr>
          <w:ilvl w:val="0"/>
          <w:numId w:val="0"/>
        </w:numPr>
        <w:spacing w:before="240" w:after="240"/>
        <w:ind w:left="360"/>
      </w:pPr>
    </w:p>
    <w:p w14:paraId="42531789" w14:textId="77777777" w:rsidR="00E42ED0" w:rsidRPr="00EB0D29" w:rsidRDefault="00E42ED0" w:rsidP="00E42ED0">
      <w:pPr>
        <w:pStyle w:val="Paragraphedeliste"/>
        <w:spacing w:before="240" w:after="240"/>
      </w:pPr>
      <w:r w:rsidRPr="00EB0D29">
        <w:rPr>
          <w:b/>
        </w:rPr>
        <w:t>DECIDE</w:t>
      </w:r>
      <w:r w:rsidRPr="00EB0D29">
        <w:t xml:space="preserve"> la validation des critères et montants susvisés ;</w:t>
      </w:r>
    </w:p>
    <w:p w14:paraId="002DEE5F" w14:textId="08BAAD2D" w:rsidR="00E25266" w:rsidRPr="000B765A" w:rsidRDefault="00E25266" w:rsidP="00E42ED0">
      <w:pPr>
        <w:spacing w:line="240" w:lineRule="auto"/>
        <w:jc w:val="both"/>
        <w:rPr>
          <w:rFonts w:ascii="Calibri" w:hAnsi="Calibri"/>
          <w:bCs/>
          <w:sz w:val="22"/>
          <w:szCs w:val="22"/>
        </w:rPr>
      </w:pPr>
    </w:p>
    <w:p w14:paraId="7D1E6CF4" w14:textId="77777777" w:rsidR="00E25266" w:rsidRPr="00C9434D" w:rsidRDefault="00E25266" w:rsidP="00E25266">
      <w:pPr>
        <w:autoSpaceDE w:val="0"/>
        <w:autoSpaceDN w:val="0"/>
        <w:spacing w:after="120"/>
        <w:ind w:left="1418" w:hanging="1418"/>
        <w:jc w:val="both"/>
        <w:rPr>
          <w:rFonts w:ascii="Calibri" w:hAnsi="Calibri" w:cs="Calibri"/>
          <w:sz w:val="22"/>
          <w:szCs w:val="22"/>
        </w:rPr>
      </w:pPr>
      <w:r w:rsidRPr="00C9434D">
        <w:rPr>
          <w:rFonts w:ascii="Calibri" w:hAnsi="Calibri" w:cs="Calibri"/>
          <w:b/>
          <w:bCs/>
          <w:sz w:val="22"/>
          <w:szCs w:val="22"/>
        </w:rPr>
        <w:lastRenderedPageBreak/>
        <w:t xml:space="preserve">ADOPTÉ </w:t>
      </w:r>
      <w:r w:rsidRPr="00C9434D">
        <w:rPr>
          <w:rFonts w:ascii="Calibri" w:hAnsi="Calibri" w:cs="Calibri"/>
          <w:sz w:val="22"/>
          <w:szCs w:val="22"/>
        </w:rPr>
        <w:t xml:space="preserve">: </w:t>
      </w:r>
      <w:r w:rsidRPr="00C9434D">
        <w:rPr>
          <w:rFonts w:ascii="Calibri" w:hAnsi="Calibri" w:cs="Calibri"/>
          <w:sz w:val="22"/>
          <w:szCs w:val="22"/>
        </w:rPr>
        <w:tab/>
        <w:t>à l’unanimité des membres présents</w:t>
      </w:r>
    </w:p>
    <w:p w14:paraId="1346C08F" w14:textId="77777777" w:rsidR="00E25266" w:rsidRPr="00C9434D" w:rsidRDefault="00E25266" w:rsidP="00E25266">
      <w:pPr>
        <w:autoSpaceDE w:val="0"/>
        <w:autoSpaceDN w:val="0"/>
        <w:spacing w:after="120"/>
        <w:ind w:left="992" w:firstLine="424"/>
        <w:jc w:val="both"/>
        <w:rPr>
          <w:rFonts w:ascii="Calibri" w:hAnsi="Calibri" w:cs="Calibri"/>
          <w:sz w:val="22"/>
          <w:szCs w:val="22"/>
        </w:rPr>
      </w:pPr>
      <w:r w:rsidRPr="00C9434D">
        <w:rPr>
          <w:rFonts w:ascii="Calibri" w:hAnsi="Calibri" w:cs="Calibri"/>
          <w:sz w:val="22"/>
          <w:szCs w:val="22"/>
        </w:rPr>
        <w:t>ou</w:t>
      </w:r>
    </w:p>
    <w:p w14:paraId="1C55EFD0" w14:textId="77777777" w:rsidR="00E25266" w:rsidRPr="00C9434D" w:rsidRDefault="00E25266" w:rsidP="00E25266">
      <w:pPr>
        <w:autoSpaceDE w:val="0"/>
        <w:autoSpaceDN w:val="0"/>
        <w:spacing w:after="120"/>
        <w:ind w:left="992" w:firstLine="425"/>
        <w:jc w:val="both"/>
        <w:rPr>
          <w:rFonts w:ascii="Calibri" w:hAnsi="Calibri" w:cs="Calibri"/>
          <w:sz w:val="22"/>
          <w:szCs w:val="22"/>
        </w:rPr>
      </w:pPr>
      <w:r w:rsidRPr="00C9434D">
        <w:rPr>
          <w:rFonts w:ascii="Calibri" w:hAnsi="Calibri" w:cs="Calibri"/>
          <w:sz w:val="22"/>
          <w:szCs w:val="22"/>
        </w:rPr>
        <w:t>à .................. voix pour</w:t>
      </w:r>
    </w:p>
    <w:p w14:paraId="27DDCB71" w14:textId="77777777" w:rsidR="00E25266" w:rsidRPr="00C9434D" w:rsidRDefault="00E25266" w:rsidP="00E25266">
      <w:pPr>
        <w:autoSpaceDE w:val="0"/>
        <w:autoSpaceDN w:val="0"/>
        <w:spacing w:after="120"/>
        <w:ind w:left="992" w:firstLine="425"/>
        <w:jc w:val="both"/>
        <w:rPr>
          <w:rFonts w:ascii="Calibri" w:hAnsi="Calibri" w:cs="Calibri"/>
          <w:sz w:val="22"/>
          <w:szCs w:val="22"/>
        </w:rPr>
      </w:pPr>
      <w:r w:rsidRPr="00C9434D">
        <w:rPr>
          <w:rFonts w:ascii="Calibri" w:hAnsi="Calibri" w:cs="Calibri"/>
          <w:sz w:val="22"/>
          <w:szCs w:val="22"/>
        </w:rPr>
        <w:t>à .................. voix contre</w:t>
      </w:r>
    </w:p>
    <w:p w14:paraId="02D26F78" w14:textId="77777777" w:rsidR="00E25266" w:rsidRPr="00C9434D" w:rsidRDefault="00E25266" w:rsidP="00E25266">
      <w:pPr>
        <w:autoSpaceDE w:val="0"/>
        <w:autoSpaceDN w:val="0"/>
        <w:spacing w:after="120"/>
        <w:ind w:left="992" w:firstLine="425"/>
        <w:jc w:val="both"/>
        <w:rPr>
          <w:rFonts w:ascii="Calibri" w:hAnsi="Calibri" w:cs="Calibri"/>
          <w:i/>
          <w:iCs/>
          <w:sz w:val="22"/>
          <w:szCs w:val="22"/>
        </w:rPr>
      </w:pPr>
      <w:r w:rsidRPr="00C9434D">
        <w:rPr>
          <w:rFonts w:ascii="Calibri" w:hAnsi="Calibri" w:cs="Calibri"/>
          <w:sz w:val="22"/>
          <w:szCs w:val="22"/>
        </w:rPr>
        <w:t>à .................. abstention</w:t>
      </w:r>
      <w:r w:rsidRPr="00C9434D">
        <w:rPr>
          <w:rFonts w:ascii="Calibri" w:hAnsi="Calibri" w:cs="Calibri"/>
          <w:i/>
          <w:iCs/>
          <w:sz w:val="22"/>
          <w:szCs w:val="22"/>
        </w:rPr>
        <w:t>(s)</w:t>
      </w:r>
    </w:p>
    <w:p w14:paraId="5E0AF1A9" w14:textId="77777777" w:rsidR="00E25266" w:rsidRPr="00C9434D" w:rsidRDefault="00E25266" w:rsidP="00E25266">
      <w:pPr>
        <w:autoSpaceDE w:val="0"/>
        <w:autoSpaceDN w:val="0"/>
        <w:spacing w:after="120"/>
        <w:ind w:left="992" w:firstLine="425"/>
        <w:jc w:val="both"/>
        <w:rPr>
          <w:rFonts w:ascii="Calibri" w:hAnsi="Calibri" w:cs="Calibri"/>
          <w:i/>
          <w:iCs/>
          <w:sz w:val="22"/>
          <w:szCs w:val="22"/>
        </w:rPr>
      </w:pPr>
    </w:p>
    <w:p w14:paraId="64E5BA89" w14:textId="77777777" w:rsidR="00E25266" w:rsidRPr="00C9434D" w:rsidRDefault="00E25266" w:rsidP="00E25266">
      <w:pPr>
        <w:tabs>
          <w:tab w:val="left" w:pos="4820"/>
          <w:tab w:val="right" w:pos="6663"/>
          <w:tab w:val="right" w:pos="9923"/>
        </w:tabs>
        <w:autoSpaceDE w:val="0"/>
        <w:autoSpaceDN w:val="0"/>
        <w:spacing w:after="120"/>
        <w:rPr>
          <w:rFonts w:ascii="Calibri" w:hAnsi="Calibri" w:cs="Calibri"/>
          <w:sz w:val="22"/>
          <w:szCs w:val="22"/>
        </w:rPr>
      </w:pPr>
      <w:r w:rsidRPr="00C9434D">
        <w:rPr>
          <w:rFonts w:ascii="Calibri" w:hAnsi="Calibri" w:cs="Calibri"/>
          <w:sz w:val="22"/>
          <w:szCs w:val="22"/>
        </w:rPr>
        <w:tab/>
        <w:t xml:space="preserve">Fait à..........................................., </w:t>
      </w:r>
    </w:p>
    <w:p w14:paraId="5C31F7F4" w14:textId="77777777" w:rsidR="00E25266" w:rsidRPr="00C9434D" w:rsidRDefault="00E25266" w:rsidP="00E25266">
      <w:pPr>
        <w:tabs>
          <w:tab w:val="left" w:pos="4820"/>
          <w:tab w:val="right" w:pos="6663"/>
          <w:tab w:val="right" w:pos="9923"/>
        </w:tabs>
        <w:autoSpaceDE w:val="0"/>
        <w:autoSpaceDN w:val="0"/>
        <w:spacing w:after="120"/>
        <w:rPr>
          <w:rFonts w:ascii="Calibri" w:hAnsi="Calibri" w:cs="Calibri"/>
          <w:sz w:val="22"/>
          <w:szCs w:val="22"/>
        </w:rPr>
      </w:pPr>
      <w:r w:rsidRPr="00C9434D">
        <w:rPr>
          <w:rFonts w:ascii="Calibri" w:hAnsi="Calibri" w:cs="Calibri"/>
          <w:sz w:val="22"/>
          <w:szCs w:val="22"/>
        </w:rPr>
        <w:tab/>
        <w:t>le .........................................</w:t>
      </w:r>
    </w:p>
    <w:p w14:paraId="040231D9" w14:textId="77777777" w:rsidR="00E25266" w:rsidRPr="00C9434D" w:rsidRDefault="00E25266" w:rsidP="00E25266">
      <w:pPr>
        <w:tabs>
          <w:tab w:val="left" w:pos="4820"/>
          <w:tab w:val="right" w:pos="6663"/>
          <w:tab w:val="right" w:pos="9923"/>
        </w:tabs>
        <w:autoSpaceDE w:val="0"/>
        <w:autoSpaceDN w:val="0"/>
        <w:spacing w:after="120"/>
        <w:rPr>
          <w:rFonts w:ascii="Calibri" w:hAnsi="Calibri" w:cs="Calibri"/>
          <w:i/>
          <w:iCs/>
          <w:sz w:val="22"/>
          <w:szCs w:val="22"/>
          <w:u w:val="single"/>
        </w:rPr>
      </w:pPr>
      <w:r w:rsidRPr="00C9434D">
        <w:rPr>
          <w:rFonts w:ascii="Calibri" w:hAnsi="Calibri" w:cs="Calibri"/>
          <w:sz w:val="22"/>
          <w:szCs w:val="22"/>
        </w:rPr>
        <w:tab/>
      </w:r>
      <w:r w:rsidRPr="00C9434D">
        <w:rPr>
          <w:rFonts w:ascii="Calibri" w:hAnsi="Calibri" w:cs="Calibri"/>
          <w:sz w:val="22"/>
          <w:szCs w:val="22"/>
          <w:u w:val="single"/>
        </w:rPr>
        <w:t>Prénom, nom et qualité du signataire</w:t>
      </w:r>
    </w:p>
    <w:p w14:paraId="633EFC04" w14:textId="77777777" w:rsidR="00E25266" w:rsidRPr="00C9434D" w:rsidRDefault="00E25266" w:rsidP="00E25266">
      <w:pPr>
        <w:tabs>
          <w:tab w:val="right" w:pos="6663"/>
          <w:tab w:val="right" w:pos="9923"/>
        </w:tabs>
        <w:autoSpaceDE w:val="0"/>
        <w:autoSpaceDN w:val="0"/>
        <w:spacing w:after="120"/>
        <w:rPr>
          <w:rFonts w:ascii="Calibri" w:hAnsi="Calibri" w:cs="Calibri"/>
          <w:i/>
          <w:iCs/>
          <w:sz w:val="22"/>
          <w:szCs w:val="22"/>
        </w:rPr>
      </w:pPr>
    </w:p>
    <w:p w14:paraId="02570969" w14:textId="77777777" w:rsidR="00E25266" w:rsidRPr="00C9434D" w:rsidRDefault="00E25266" w:rsidP="00E25266">
      <w:pPr>
        <w:tabs>
          <w:tab w:val="right" w:pos="6663"/>
          <w:tab w:val="right" w:pos="9923"/>
        </w:tabs>
        <w:autoSpaceDE w:val="0"/>
        <w:autoSpaceDN w:val="0"/>
        <w:spacing w:after="120"/>
        <w:rPr>
          <w:rFonts w:ascii="Calibri" w:hAnsi="Calibri" w:cs="Calibri"/>
          <w:i/>
          <w:iCs/>
          <w:sz w:val="22"/>
          <w:szCs w:val="22"/>
        </w:rPr>
      </w:pPr>
    </w:p>
    <w:p w14:paraId="6010C075" w14:textId="77777777" w:rsidR="00E25266" w:rsidRPr="00C9434D" w:rsidRDefault="00E25266" w:rsidP="00E25266">
      <w:pPr>
        <w:tabs>
          <w:tab w:val="right" w:pos="6663"/>
          <w:tab w:val="right" w:pos="9923"/>
        </w:tabs>
        <w:autoSpaceDE w:val="0"/>
        <w:autoSpaceDN w:val="0"/>
        <w:spacing w:after="120"/>
        <w:rPr>
          <w:rFonts w:ascii="Calibri" w:hAnsi="Calibri" w:cs="Calibri"/>
          <w:sz w:val="22"/>
          <w:szCs w:val="22"/>
        </w:rPr>
      </w:pPr>
    </w:p>
    <w:p w14:paraId="7DB43500" w14:textId="77777777" w:rsidR="00E25266" w:rsidRPr="00C9434D" w:rsidRDefault="00E25266" w:rsidP="00E25266">
      <w:pPr>
        <w:autoSpaceDE w:val="0"/>
        <w:autoSpaceDN w:val="0"/>
        <w:spacing w:after="120"/>
        <w:ind w:left="567"/>
        <w:jc w:val="both"/>
        <w:rPr>
          <w:rFonts w:ascii="Calibri" w:hAnsi="Calibri" w:cs="Calibri"/>
          <w:b/>
          <w:bCs/>
          <w:sz w:val="22"/>
          <w:szCs w:val="22"/>
        </w:rPr>
      </w:pPr>
      <w:r w:rsidRPr="00C9434D">
        <w:rPr>
          <w:rFonts w:ascii="Calibri" w:hAnsi="Calibri" w:cs="Calibri"/>
          <w:b/>
          <w:bCs/>
          <w:sz w:val="22"/>
          <w:szCs w:val="22"/>
        </w:rPr>
        <w:t>- Transmis au représentant de l’Etat le : …………………………..</w:t>
      </w:r>
    </w:p>
    <w:p w14:paraId="05623272" w14:textId="77777777" w:rsidR="00E25266" w:rsidRPr="00C9434D" w:rsidRDefault="00E25266" w:rsidP="00E25266">
      <w:pPr>
        <w:autoSpaceDE w:val="0"/>
        <w:autoSpaceDN w:val="0"/>
        <w:spacing w:after="120"/>
        <w:ind w:left="567"/>
        <w:jc w:val="both"/>
        <w:rPr>
          <w:rFonts w:ascii="Calibri" w:hAnsi="Calibri" w:cs="Calibri"/>
          <w:b/>
          <w:bCs/>
          <w:sz w:val="22"/>
          <w:szCs w:val="22"/>
        </w:rPr>
      </w:pPr>
      <w:r w:rsidRPr="00C9434D">
        <w:rPr>
          <w:rFonts w:ascii="Calibri" w:hAnsi="Calibri" w:cs="Calibri"/>
          <w:b/>
          <w:bCs/>
          <w:sz w:val="22"/>
          <w:szCs w:val="22"/>
        </w:rPr>
        <w:t>- Publié le : ………………………………………………………………</w:t>
      </w:r>
    </w:p>
    <w:p w14:paraId="2335F331" w14:textId="77777777" w:rsidR="00E25266" w:rsidRDefault="00E25266" w:rsidP="00E25266">
      <w:pPr>
        <w:widowControl w:val="0"/>
        <w:autoSpaceDE w:val="0"/>
        <w:autoSpaceDN w:val="0"/>
        <w:adjustRightInd w:val="0"/>
        <w:jc w:val="both"/>
        <w:rPr>
          <w:rFonts w:ascii="Calibri" w:hAnsi="Calibri" w:cs="Calibri"/>
          <w:sz w:val="22"/>
          <w:szCs w:val="22"/>
        </w:rPr>
      </w:pPr>
    </w:p>
    <w:p w14:paraId="67BF65FB" w14:textId="77777777" w:rsidR="00E25266" w:rsidRDefault="00E25266" w:rsidP="00E25266">
      <w:pPr>
        <w:widowControl w:val="0"/>
        <w:autoSpaceDE w:val="0"/>
        <w:autoSpaceDN w:val="0"/>
        <w:adjustRightInd w:val="0"/>
        <w:jc w:val="both"/>
        <w:rPr>
          <w:rFonts w:ascii="Calibri" w:hAnsi="Calibri" w:cs="Calibri"/>
          <w:sz w:val="22"/>
          <w:szCs w:val="22"/>
        </w:rPr>
      </w:pPr>
    </w:p>
    <w:p w14:paraId="34B83D74" w14:textId="77777777" w:rsidR="00E25266" w:rsidRDefault="00E25266" w:rsidP="00E25266">
      <w:pPr>
        <w:widowControl w:val="0"/>
        <w:autoSpaceDE w:val="0"/>
        <w:autoSpaceDN w:val="0"/>
        <w:adjustRightInd w:val="0"/>
        <w:jc w:val="both"/>
        <w:rPr>
          <w:rFonts w:ascii="Calibri" w:hAnsi="Calibri" w:cs="Calibri"/>
          <w:sz w:val="22"/>
          <w:szCs w:val="22"/>
        </w:rPr>
      </w:pPr>
    </w:p>
    <w:p w14:paraId="1B1A5ADE" w14:textId="77777777" w:rsidR="00E25266" w:rsidRDefault="00E25266" w:rsidP="00E25266">
      <w:pPr>
        <w:widowControl w:val="0"/>
        <w:autoSpaceDE w:val="0"/>
        <w:autoSpaceDN w:val="0"/>
        <w:adjustRightInd w:val="0"/>
        <w:jc w:val="both"/>
        <w:rPr>
          <w:rFonts w:ascii="Calibri" w:hAnsi="Calibri" w:cs="Calibri"/>
          <w:sz w:val="22"/>
          <w:szCs w:val="22"/>
        </w:rPr>
      </w:pPr>
    </w:p>
    <w:p w14:paraId="3FFB0A9A" w14:textId="77777777" w:rsidR="00E25266" w:rsidRDefault="00E25266" w:rsidP="00E25266">
      <w:pPr>
        <w:tabs>
          <w:tab w:val="left" w:pos="3402"/>
        </w:tabs>
        <w:jc w:val="both"/>
        <w:rPr>
          <w:rFonts w:ascii="Trebuchet MS" w:eastAsiaTheme="minorHAnsi" w:hAnsi="Trebuchet MS" w:cs="Trebuchet MS"/>
          <w:sz w:val="18"/>
          <w:szCs w:val="18"/>
        </w:rPr>
      </w:pPr>
      <w:r>
        <w:rPr>
          <w:rFonts w:ascii="Trebuchet MS" w:hAnsi="Trebuchet MS" w:cs="Trebuchet MS"/>
          <w:sz w:val="18"/>
          <w:szCs w:val="18"/>
        </w:rPr>
        <w:t xml:space="preserve">Le Maire (ou Le Président) certifie sous sa responsabilité le caractère exécutoire de cet acte. La présente décision peut faire l’objet, dans un délai de deux mois à compter de sa publication et/ou notification, d’un recours contentieux par courrier adressé au Tribunal administratif de Rennes 3, Contour de la Motte, CS 44416, 35044 Rennes Cedex, ou par l'application Télérecours citoyens accessible à partir du site </w:t>
      </w:r>
      <w:hyperlink r:id="rId8" w:history="1">
        <w:r w:rsidRPr="00E25266">
          <w:rPr>
            <w:rStyle w:val="Lienhypertexte"/>
            <w:rFonts w:ascii="Trebuchet MS" w:hAnsi="Trebuchet MS" w:cs="Trebuchet MS"/>
            <w:color w:val="2B3583"/>
            <w:sz w:val="18"/>
            <w:szCs w:val="18"/>
          </w:rPr>
          <w:t>www.telerecours.fr</w:t>
        </w:r>
      </w:hyperlink>
      <w:r w:rsidRPr="00E25266">
        <w:rPr>
          <w:rFonts w:ascii="Trebuchet MS" w:hAnsi="Trebuchet MS" w:cs="Trebuchet MS"/>
          <w:color w:val="2B3583"/>
          <w:sz w:val="18"/>
          <w:szCs w:val="18"/>
        </w:rPr>
        <w:t>.</w:t>
      </w:r>
    </w:p>
    <w:p w14:paraId="3E380121" w14:textId="77777777" w:rsidR="00E25266" w:rsidRPr="009E62FB" w:rsidRDefault="00E25266" w:rsidP="00E25266">
      <w:pPr>
        <w:ind w:left="-75"/>
        <w:jc w:val="both"/>
        <w:rPr>
          <w:rFonts w:ascii="Calibri" w:hAnsi="Calibri" w:cs="Calibri"/>
          <w:sz w:val="22"/>
          <w:szCs w:val="22"/>
        </w:rPr>
      </w:pPr>
    </w:p>
    <w:p w14:paraId="059029CE" w14:textId="77777777" w:rsidR="00E25266" w:rsidRPr="00921824" w:rsidRDefault="00E25266" w:rsidP="00E25266">
      <w:pPr>
        <w:pStyle w:val="VuConsidrant"/>
        <w:spacing w:after="0"/>
        <w:rPr>
          <w:rFonts w:ascii="Calibri" w:eastAsia="Trebuchet MS" w:hAnsi="Calibri" w:cs="Calibri"/>
          <w:kern w:val="1"/>
          <w:sz w:val="22"/>
          <w:szCs w:val="22"/>
          <w:lang w:eastAsia="ar-SA"/>
        </w:rPr>
      </w:pPr>
    </w:p>
    <w:p w14:paraId="059F07FE" w14:textId="0B9C8B91" w:rsidR="00141F40" w:rsidRPr="008D6A14" w:rsidRDefault="00141F40" w:rsidP="00E25266">
      <w:pPr>
        <w:spacing w:line="259" w:lineRule="auto"/>
        <w:jc w:val="both"/>
        <w:rPr>
          <w:rFonts w:cs="Arial"/>
          <w:i/>
          <w:iCs/>
          <w:color w:val="538135" w:themeColor="accent6" w:themeShade="BF"/>
          <w:szCs w:val="20"/>
        </w:rPr>
      </w:pPr>
    </w:p>
    <w:sectPr w:rsidR="00141F40" w:rsidRPr="008D6A14" w:rsidSect="00A642A4">
      <w:headerReference w:type="default" r:id="rId9"/>
      <w:footerReference w:type="default" r:id="rId10"/>
      <w:pgSz w:w="11900" w:h="16840"/>
      <w:pgMar w:top="2291" w:right="851" w:bottom="1276" w:left="1134" w:header="426"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E1A6" w14:textId="77777777" w:rsidR="00C17052" w:rsidRDefault="00C17052" w:rsidP="004C7215">
      <w:pPr>
        <w:spacing w:line="240" w:lineRule="auto"/>
      </w:pPr>
      <w:r>
        <w:separator/>
      </w:r>
    </w:p>
    <w:p w14:paraId="120E6E75" w14:textId="77777777" w:rsidR="00C17052" w:rsidRDefault="00C17052"/>
    <w:p w14:paraId="4EB0271D" w14:textId="77777777" w:rsidR="00C17052" w:rsidRDefault="00C17052"/>
  </w:endnote>
  <w:endnote w:type="continuationSeparator" w:id="0">
    <w:p w14:paraId="6E751FCD" w14:textId="77777777" w:rsidR="00C17052" w:rsidRDefault="00C17052" w:rsidP="004C7215">
      <w:pPr>
        <w:spacing w:line="240" w:lineRule="auto"/>
      </w:pPr>
      <w:r>
        <w:continuationSeparator/>
      </w:r>
    </w:p>
    <w:p w14:paraId="1E51E01B" w14:textId="77777777" w:rsidR="00C17052" w:rsidRDefault="00C17052"/>
    <w:p w14:paraId="460F1D30" w14:textId="77777777" w:rsidR="00C17052" w:rsidRDefault="00C17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AE6A" w14:textId="77777777" w:rsidR="00823AA4" w:rsidRPr="00A60594" w:rsidRDefault="00B31BAF" w:rsidP="00823AA4">
    <w:pPr>
      <w:pStyle w:val="Pieddepage"/>
      <w:tabs>
        <w:tab w:val="clear" w:pos="9072"/>
      </w:tabs>
      <w:ind w:right="-8"/>
      <w:jc w:val="right"/>
      <w:rPr>
        <w:sz w:val="18"/>
        <w:szCs w:val="18"/>
      </w:rPr>
    </w:pPr>
    <w:r>
      <w:rPr>
        <w:noProof/>
      </w:rPr>
      <w:drawing>
        <wp:anchor distT="0" distB="0" distL="114300" distR="114300" simplePos="0" relativeHeight="251659264" behindDoc="1" locked="0" layoutInCell="1" allowOverlap="1" wp14:anchorId="36F0C5A3" wp14:editId="4DDACFE3">
          <wp:simplePos x="0" y="0"/>
          <wp:positionH relativeFrom="page">
            <wp:posOffset>-219075</wp:posOffset>
          </wp:positionH>
          <wp:positionV relativeFrom="paragraph">
            <wp:posOffset>-307340</wp:posOffset>
          </wp:positionV>
          <wp:extent cx="6438900" cy="663575"/>
          <wp:effectExtent l="0" t="0" r="0" b="0"/>
          <wp:wrapNone/>
          <wp:docPr id="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3AA4">
      <w:rPr>
        <w:sz w:val="18"/>
        <w:szCs w:val="18"/>
      </w:rPr>
      <w:t xml:space="preserve">|  </w:t>
    </w:r>
    <w:r w:rsidR="00823AA4" w:rsidRPr="00A60594">
      <w:rPr>
        <w:sz w:val="18"/>
        <w:szCs w:val="18"/>
      </w:rPr>
      <w:t xml:space="preserve">Page </w:t>
    </w:r>
    <w:r w:rsidR="00823AA4" w:rsidRPr="00A60594">
      <w:rPr>
        <w:b/>
        <w:bCs/>
        <w:sz w:val="18"/>
        <w:szCs w:val="18"/>
      </w:rPr>
      <w:fldChar w:fldCharType="begin"/>
    </w:r>
    <w:r w:rsidR="00823AA4" w:rsidRPr="00A60594">
      <w:rPr>
        <w:b/>
        <w:bCs/>
        <w:sz w:val="18"/>
        <w:szCs w:val="18"/>
      </w:rPr>
      <w:instrText>PAGE</w:instrText>
    </w:r>
    <w:r w:rsidR="00823AA4" w:rsidRPr="00A60594">
      <w:rPr>
        <w:b/>
        <w:bCs/>
        <w:sz w:val="18"/>
        <w:szCs w:val="18"/>
      </w:rPr>
      <w:fldChar w:fldCharType="separate"/>
    </w:r>
    <w:r w:rsidR="00A642A4">
      <w:rPr>
        <w:b/>
        <w:bCs/>
        <w:noProof/>
        <w:sz w:val="18"/>
        <w:szCs w:val="18"/>
      </w:rPr>
      <w:t>1</w:t>
    </w:r>
    <w:r w:rsidR="00823AA4" w:rsidRPr="00A60594">
      <w:rPr>
        <w:b/>
        <w:bCs/>
        <w:sz w:val="18"/>
        <w:szCs w:val="18"/>
      </w:rPr>
      <w:fldChar w:fldCharType="end"/>
    </w:r>
    <w:r w:rsidR="00823AA4" w:rsidRPr="00A60594">
      <w:rPr>
        <w:sz w:val="18"/>
        <w:szCs w:val="18"/>
      </w:rPr>
      <w:t xml:space="preserve"> sur </w:t>
    </w:r>
    <w:r w:rsidR="00823AA4" w:rsidRPr="00A60594">
      <w:rPr>
        <w:b/>
        <w:bCs/>
        <w:sz w:val="18"/>
        <w:szCs w:val="18"/>
      </w:rPr>
      <w:fldChar w:fldCharType="begin"/>
    </w:r>
    <w:r w:rsidR="00823AA4" w:rsidRPr="00A60594">
      <w:rPr>
        <w:b/>
        <w:bCs/>
        <w:sz w:val="18"/>
        <w:szCs w:val="18"/>
      </w:rPr>
      <w:instrText>NUMPAGES</w:instrText>
    </w:r>
    <w:r w:rsidR="00823AA4" w:rsidRPr="00A60594">
      <w:rPr>
        <w:b/>
        <w:bCs/>
        <w:sz w:val="18"/>
        <w:szCs w:val="18"/>
      </w:rPr>
      <w:fldChar w:fldCharType="separate"/>
    </w:r>
    <w:r w:rsidR="00A642A4">
      <w:rPr>
        <w:b/>
        <w:bCs/>
        <w:noProof/>
        <w:sz w:val="18"/>
        <w:szCs w:val="18"/>
      </w:rPr>
      <w:t>2</w:t>
    </w:r>
    <w:r w:rsidR="00823AA4" w:rsidRPr="00A60594">
      <w:rPr>
        <w:b/>
        <w:bCs/>
        <w:sz w:val="18"/>
        <w:szCs w:val="18"/>
      </w:rPr>
      <w:fldChar w:fldCharType="end"/>
    </w:r>
  </w:p>
  <w:p w14:paraId="3EED17D0" w14:textId="77777777" w:rsidR="00AC5191" w:rsidRPr="00823AA4" w:rsidRDefault="00AC5191" w:rsidP="00823A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EA66" w14:textId="77777777" w:rsidR="00C17052" w:rsidRDefault="00C17052" w:rsidP="004C7215">
      <w:pPr>
        <w:spacing w:line="240" w:lineRule="auto"/>
      </w:pPr>
      <w:r>
        <w:separator/>
      </w:r>
    </w:p>
    <w:p w14:paraId="2E0716CF" w14:textId="77777777" w:rsidR="00C17052" w:rsidRDefault="00C17052"/>
    <w:p w14:paraId="6102CF2D" w14:textId="77777777" w:rsidR="00C17052" w:rsidRDefault="00C17052"/>
  </w:footnote>
  <w:footnote w:type="continuationSeparator" w:id="0">
    <w:p w14:paraId="09D7F5F5" w14:textId="77777777" w:rsidR="00C17052" w:rsidRDefault="00C17052" w:rsidP="004C7215">
      <w:pPr>
        <w:spacing w:line="240" w:lineRule="auto"/>
      </w:pPr>
      <w:r>
        <w:continuationSeparator/>
      </w:r>
    </w:p>
    <w:p w14:paraId="3D036749" w14:textId="77777777" w:rsidR="00C17052" w:rsidRDefault="00C17052"/>
    <w:p w14:paraId="469E2699" w14:textId="77777777" w:rsidR="00C17052" w:rsidRDefault="00C17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6B4" w14:textId="348D2385" w:rsidR="00823AA4" w:rsidRPr="0064407C" w:rsidRDefault="00B31BAF" w:rsidP="0064407C">
    <w:pPr>
      <w:pStyle w:val="En-tte"/>
      <w:tabs>
        <w:tab w:val="clear" w:pos="4536"/>
        <w:tab w:val="clear" w:pos="9072"/>
        <w:tab w:val="right" w:pos="9915"/>
      </w:tabs>
    </w:pPr>
    <w:r w:rsidRPr="0064407C">
      <w:rPr>
        <w:noProof/>
      </w:rPr>
      <w:drawing>
        <wp:anchor distT="0" distB="0" distL="114300" distR="114300" simplePos="0" relativeHeight="251658240" behindDoc="0" locked="0" layoutInCell="1" allowOverlap="1" wp14:anchorId="78D18E9C" wp14:editId="1A58ED10">
          <wp:simplePos x="0" y="0"/>
          <wp:positionH relativeFrom="margin">
            <wp:posOffset>0</wp:posOffset>
          </wp:positionH>
          <wp:positionV relativeFrom="paragraph">
            <wp:posOffset>-78105</wp:posOffset>
          </wp:positionV>
          <wp:extent cx="934720" cy="1147445"/>
          <wp:effectExtent l="0" t="0" r="0" b="0"/>
          <wp:wrapNone/>
          <wp:docPr id="4"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Charte Graphique\Logo avec baseline\Carré\cdg56 baseline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07C" w:rsidRPr="0064407C">
      <w:tab/>
    </w:r>
    <w:r w:rsidR="0064407C" w:rsidRPr="0064407C">
      <w:rPr>
        <w:color w:val="2B3583"/>
      </w:rPr>
      <w:t xml:space="preserve">PJ : </w:t>
    </w:r>
    <w:r w:rsidR="00DC4529">
      <w:rPr>
        <w:color w:val="2B3583"/>
      </w:rPr>
      <w:t>30</w:t>
    </w:r>
    <w:r w:rsidR="0064407C" w:rsidRPr="0064407C">
      <w:rPr>
        <w:color w:val="2B3583"/>
      </w:rPr>
      <w:t>/</w:t>
    </w:r>
    <w:r w:rsidR="00DC4529">
      <w:rPr>
        <w:color w:val="2B3583"/>
      </w:rPr>
      <w:t>0</w:t>
    </w:r>
    <w:r w:rsidR="0064407C" w:rsidRPr="0064407C">
      <w:rPr>
        <w:color w:val="2B3583"/>
      </w:rPr>
      <w:t>1/202</w:t>
    </w:r>
    <w:r w:rsidR="00DC4529">
      <w:rPr>
        <w:color w:val="2B3583"/>
      </w:rPr>
      <w:t>5</w:t>
    </w:r>
  </w:p>
  <w:p w14:paraId="57BB86D9" w14:textId="77777777" w:rsidR="00823AA4" w:rsidRDefault="00B31BAF" w:rsidP="00823AA4">
    <w:pPr>
      <w:pStyle w:val="En-tte"/>
    </w:pPr>
    <w:r>
      <w:rPr>
        <w:noProof/>
      </w:rPr>
      <w:drawing>
        <wp:anchor distT="0" distB="0" distL="114300" distR="114300" simplePos="0" relativeHeight="251657216" behindDoc="1" locked="0" layoutInCell="1" allowOverlap="1" wp14:anchorId="608B31FD" wp14:editId="57099312">
          <wp:simplePos x="0" y="0"/>
          <wp:positionH relativeFrom="column">
            <wp:posOffset>1021080</wp:posOffset>
          </wp:positionH>
          <wp:positionV relativeFrom="paragraph">
            <wp:posOffset>89535</wp:posOffset>
          </wp:positionV>
          <wp:extent cx="5938520" cy="612140"/>
          <wp:effectExtent l="0" t="0" r="0" b="0"/>
          <wp:wrapNone/>
          <wp:docPr id="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11C68" w14:textId="77777777" w:rsidR="00823AA4" w:rsidRDefault="00B31BAF" w:rsidP="00823AA4">
    <w:pPr>
      <w:pStyle w:val="En-tte"/>
    </w:pPr>
    <w:r>
      <w:rPr>
        <w:noProof/>
      </w:rPr>
      <mc:AlternateContent>
        <mc:Choice Requires="wps">
          <w:drawing>
            <wp:anchor distT="0" distB="0" distL="114300" distR="114300" simplePos="0" relativeHeight="251656192" behindDoc="0" locked="0" layoutInCell="1" allowOverlap="1" wp14:anchorId="255C036A" wp14:editId="55FBC63C">
              <wp:simplePos x="0" y="0"/>
              <wp:positionH relativeFrom="page">
                <wp:align>right</wp:align>
              </wp:positionH>
              <wp:positionV relativeFrom="paragraph">
                <wp:posOffset>32385</wp:posOffset>
              </wp:positionV>
              <wp:extent cx="5116830" cy="39624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71552F1E" w14:textId="0E59D6CD"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de délibération</w:t>
                          </w:r>
                          <w:r w:rsidR="00510A39">
                            <w:rPr>
                              <w:rFonts w:cs="Arial"/>
                              <w:b/>
                              <w:color w:val="FFFFFF"/>
                              <w:sz w:val="30"/>
                              <w:szCs w:val="30"/>
                            </w:rPr>
                            <w:t xml:space="preserve"> à adapter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C036A" id="_x0000_t202" coordsize="21600,21600" o:spt="202" path="m,l,21600r21600,l21600,xe">
              <v:stroke joinstyle="miter"/>
              <v:path gradientshapeok="t" o:connecttype="rect"/>
            </v:shapetype>
            <v:shape id="Zone de texte 1" o:spid="_x0000_s1026" type="#_x0000_t202" style="position:absolute;margin-left:351.7pt;margin-top:2.55pt;width:402.9pt;height:31.2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71552F1E" w14:textId="0E59D6CD"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de délibération</w:t>
                    </w:r>
                    <w:r w:rsidR="00510A39">
                      <w:rPr>
                        <w:rFonts w:cs="Arial"/>
                        <w:b/>
                        <w:color w:val="FFFFFF"/>
                        <w:sz w:val="30"/>
                        <w:szCs w:val="30"/>
                      </w:rPr>
                      <w:t xml:space="preserve"> à adapter</w:t>
                    </w:r>
                  </w:p>
                </w:txbxContent>
              </v:textbox>
              <w10:wrap anchorx="page"/>
            </v:shape>
          </w:pict>
        </mc:Fallback>
      </mc:AlternateContent>
    </w:r>
  </w:p>
  <w:p w14:paraId="071B9900" w14:textId="77777777" w:rsidR="00823AA4" w:rsidRDefault="00823AA4" w:rsidP="00823AA4">
    <w:pPr>
      <w:pStyle w:val="En-tte"/>
    </w:pPr>
  </w:p>
  <w:p w14:paraId="48C958F6" w14:textId="77777777" w:rsidR="00823AA4" w:rsidRDefault="00823AA4" w:rsidP="00823AA4">
    <w:pPr>
      <w:pStyle w:val="En-tte"/>
    </w:pPr>
  </w:p>
  <w:p w14:paraId="6F66A58A" w14:textId="77777777" w:rsidR="00823AA4" w:rsidRDefault="00823AA4" w:rsidP="00823AA4">
    <w:pPr>
      <w:pStyle w:val="En-tte"/>
    </w:pPr>
  </w:p>
  <w:p w14:paraId="4FE9869C" w14:textId="77777777" w:rsidR="00823AA4" w:rsidRDefault="00823AA4" w:rsidP="00823AA4">
    <w:pPr>
      <w:pStyle w:val="En-tte"/>
    </w:pPr>
  </w:p>
  <w:p w14:paraId="4CDDE2AB" w14:textId="77777777" w:rsidR="00823AA4" w:rsidRDefault="00823AA4" w:rsidP="00823AA4">
    <w:pPr>
      <w:pStyle w:val="En-tte"/>
    </w:pPr>
  </w:p>
  <w:p w14:paraId="774D8559" w14:textId="77777777" w:rsidR="00AC5191" w:rsidRPr="00823AA4" w:rsidRDefault="00AC5191" w:rsidP="00823A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3.6pt;height:63.6pt" o:bullet="t">
        <v:imagedata r:id="rId1" o:title="virgule-verte"/>
      </v:shape>
    </w:pict>
  </w:numPicBullet>
  <w:abstractNum w:abstractNumId="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2D67E4"/>
    <w:multiLevelType w:val="hybridMultilevel"/>
    <w:tmpl w:val="BBB2477E"/>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17060095"/>
    <w:multiLevelType w:val="hybridMultilevel"/>
    <w:tmpl w:val="E01E8E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103051"/>
    <w:multiLevelType w:val="hybridMultilevel"/>
    <w:tmpl w:val="C23C0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B22133"/>
    <w:multiLevelType w:val="hybridMultilevel"/>
    <w:tmpl w:val="305210FE"/>
    <w:lvl w:ilvl="0" w:tplc="4C56DE16">
      <w:numFmt w:val="bullet"/>
      <w:lvlText w:val="-"/>
      <w:lvlJc w:val="left"/>
      <w:pPr>
        <w:ind w:left="1440" w:hanging="360"/>
      </w:pPr>
      <w:rPr>
        <w:rFonts w:ascii="Tahoma" w:eastAsia="Times New Roman" w:hAnsi="Tahoma" w:cs="Tahoma"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7" w15:restartNumberingAfterBreak="0">
    <w:nsid w:val="3B7A05CA"/>
    <w:multiLevelType w:val="hybridMultilevel"/>
    <w:tmpl w:val="F0E07CF8"/>
    <w:lvl w:ilvl="0" w:tplc="FC2E015E">
      <w:numFmt w:val="bullet"/>
      <w:lvlText w:val="-"/>
      <w:lvlJc w:val="left"/>
      <w:pPr>
        <w:ind w:left="720" w:hanging="360"/>
      </w:pPr>
      <w:rPr>
        <w:rFonts w:ascii="Tahoma" w:eastAsia="Times New Roman" w:hAnsi="Tahoma" w:cs="Tahoma" w:hint="default"/>
        <w:color w:val="2F5496" w:themeColor="accent1" w:themeShade="BF"/>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FC31FD5"/>
    <w:multiLevelType w:val="hybridMultilevel"/>
    <w:tmpl w:val="3CF60D92"/>
    <w:lvl w:ilvl="0" w:tplc="ECD8AF52">
      <w:numFmt w:val="bullet"/>
      <w:lvlText w:val="-"/>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7910F9C"/>
    <w:multiLevelType w:val="hybridMultilevel"/>
    <w:tmpl w:val="AD761E52"/>
    <w:lvl w:ilvl="0" w:tplc="8E34C8D2">
      <w:start w:val="7"/>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593A48F8"/>
    <w:multiLevelType w:val="hybridMultilevel"/>
    <w:tmpl w:val="13D43028"/>
    <w:lvl w:ilvl="0" w:tplc="4C56DE16">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9B812BD"/>
    <w:multiLevelType w:val="hybridMultilevel"/>
    <w:tmpl w:val="B686A9E6"/>
    <w:lvl w:ilvl="0" w:tplc="403C9AC4">
      <w:start w:val="13"/>
      <w:numFmt w:val="bullet"/>
      <w:lvlText w:val=""/>
      <w:lvlJc w:val="left"/>
      <w:pPr>
        <w:ind w:left="720" w:hanging="360"/>
      </w:pPr>
      <w:rPr>
        <w:rFonts w:ascii="Wingdings" w:eastAsiaTheme="majorEastAsia" w:hAnsi="Wingdings"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D56CD6"/>
    <w:multiLevelType w:val="hybridMultilevel"/>
    <w:tmpl w:val="34448A46"/>
    <w:lvl w:ilvl="0" w:tplc="30325FC0">
      <w:numFmt w:val="bullet"/>
      <w:lvlText w:val="-"/>
      <w:lvlJc w:val="left"/>
      <w:pPr>
        <w:ind w:left="2136" w:hanging="360"/>
      </w:pPr>
      <w:rPr>
        <w:rFonts w:ascii="Tahoma" w:eastAsia="Times New Roman" w:hAnsi="Tahoma" w:cs="Tahoma"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4"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num w:numId="1" w16cid:durableId="1289894547">
    <w:abstractNumId w:val="14"/>
  </w:num>
  <w:num w:numId="2" w16cid:durableId="1033993876">
    <w:abstractNumId w:val="11"/>
  </w:num>
  <w:num w:numId="3" w16cid:durableId="80375657">
    <w:abstractNumId w:val="15"/>
  </w:num>
  <w:num w:numId="4" w16cid:durableId="1382286677">
    <w:abstractNumId w:val="0"/>
  </w:num>
  <w:num w:numId="5" w16cid:durableId="76446245">
    <w:abstractNumId w:val="4"/>
  </w:num>
  <w:num w:numId="6" w16cid:durableId="554119740">
    <w:abstractNumId w:val="3"/>
  </w:num>
  <w:num w:numId="7" w16cid:durableId="2035959058">
    <w:abstractNumId w:val="2"/>
  </w:num>
  <w:num w:numId="8" w16cid:durableId="1642299217">
    <w:abstractNumId w:val="8"/>
  </w:num>
  <w:num w:numId="9" w16cid:durableId="395319806">
    <w:abstractNumId w:val="5"/>
  </w:num>
  <w:num w:numId="10" w16cid:durableId="2013338593">
    <w:abstractNumId w:val="1"/>
  </w:num>
  <w:num w:numId="11" w16cid:durableId="1137796707">
    <w:abstractNumId w:val="13"/>
  </w:num>
  <w:num w:numId="12" w16cid:durableId="182129915">
    <w:abstractNumId w:val="9"/>
  </w:num>
  <w:num w:numId="13" w16cid:durableId="849948869">
    <w:abstractNumId w:val="7"/>
  </w:num>
  <w:num w:numId="14" w16cid:durableId="1951273973">
    <w:abstractNumId w:val="10"/>
  </w:num>
  <w:num w:numId="15" w16cid:durableId="245308427">
    <w:abstractNumId w:val="6"/>
  </w:num>
  <w:num w:numId="16" w16cid:durableId="36903700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C6"/>
    <w:rsid w:val="00032E5A"/>
    <w:rsid w:val="000352C1"/>
    <w:rsid w:val="00077C84"/>
    <w:rsid w:val="0008582E"/>
    <w:rsid w:val="000D1107"/>
    <w:rsid w:val="000F2290"/>
    <w:rsid w:val="0010090C"/>
    <w:rsid w:val="001010F1"/>
    <w:rsid w:val="00105EA1"/>
    <w:rsid w:val="001407E1"/>
    <w:rsid w:val="00141F40"/>
    <w:rsid w:val="00152B1E"/>
    <w:rsid w:val="001662D7"/>
    <w:rsid w:val="001C4565"/>
    <w:rsid w:val="001C5CA0"/>
    <w:rsid w:val="00204041"/>
    <w:rsid w:val="00217182"/>
    <w:rsid w:val="00217649"/>
    <w:rsid w:val="00223160"/>
    <w:rsid w:val="00281654"/>
    <w:rsid w:val="00286695"/>
    <w:rsid w:val="002F71C8"/>
    <w:rsid w:val="00303424"/>
    <w:rsid w:val="00313572"/>
    <w:rsid w:val="0032172C"/>
    <w:rsid w:val="00321A53"/>
    <w:rsid w:val="00330F80"/>
    <w:rsid w:val="0033659A"/>
    <w:rsid w:val="00341E8C"/>
    <w:rsid w:val="0036637B"/>
    <w:rsid w:val="003C4D77"/>
    <w:rsid w:val="003E3965"/>
    <w:rsid w:val="0040390E"/>
    <w:rsid w:val="004329FB"/>
    <w:rsid w:val="00441118"/>
    <w:rsid w:val="00463971"/>
    <w:rsid w:val="00483DD1"/>
    <w:rsid w:val="00487A66"/>
    <w:rsid w:val="004C7215"/>
    <w:rsid w:val="00510A39"/>
    <w:rsid w:val="00525F12"/>
    <w:rsid w:val="00560259"/>
    <w:rsid w:val="00561611"/>
    <w:rsid w:val="0063589B"/>
    <w:rsid w:val="0064407C"/>
    <w:rsid w:val="0068417A"/>
    <w:rsid w:val="006A4E8A"/>
    <w:rsid w:val="006C65AF"/>
    <w:rsid w:val="006D3DC0"/>
    <w:rsid w:val="00727AE0"/>
    <w:rsid w:val="00730849"/>
    <w:rsid w:val="00753F70"/>
    <w:rsid w:val="0075500D"/>
    <w:rsid w:val="007741CA"/>
    <w:rsid w:val="0078230D"/>
    <w:rsid w:val="007A38D4"/>
    <w:rsid w:val="007F52FB"/>
    <w:rsid w:val="008013BD"/>
    <w:rsid w:val="0080604F"/>
    <w:rsid w:val="00823AA4"/>
    <w:rsid w:val="00852235"/>
    <w:rsid w:val="008836A1"/>
    <w:rsid w:val="00886741"/>
    <w:rsid w:val="00895CF0"/>
    <w:rsid w:val="008A6F74"/>
    <w:rsid w:val="008D6A14"/>
    <w:rsid w:val="00914EDE"/>
    <w:rsid w:val="00927E3E"/>
    <w:rsid w:val="009561C6"/>
    <w:rsid w:val="0096158F"/>
    <w:rsid w:val="00961918"/>
    <w:rsid w:val="009624A9"/>
    <w:rsid w:val="00966983"/>
    <w:rsid w:val="00A212E7"/>
    <w:rsid w:val="00A3475C"/>
    <w:rsid w:val="00A642A4"/>
    <w:rsid w:val="00A809A7"/>
    <w:rsid w:val="00A911BB"/>
    <w:rsid w:val="00AC5191"/>
    <w:rsid w:val="00AC72F0"/>
    <w:rsid w:val="00AE151D"/>
    <w:rsid w:val="00AE1D90"/>
    <w:rsid w:val="00B071B6"/>
    <w:rsid w:val="00B12AD1"/>
    <w:rsid w:val="00B23393"/>
    <w:rsid w:val="00B31BAF"/>
    <w:rsid w:val="00B544AB"/>
    <w:rsid w:val="00BD4971"/>
    <w:rsid w:val="00C1152D"/>
    <w:rsid w:val="00C17052"/>
    <w:rsid w:val="00C32D54"/>
    <w:rsid w:val="00C5204D"/>
    <w:rsid w:val="00C640CC"/>
    <w:rsid w:val="00C72129"/>
    <w:rsid w:val="00C860F5"/>
    <w:rsid w:val="00CF18D6"/>
    <w:rsid w:val="00D26FBB"/>
    <w:rsid w:val="00D57ABB"/>
    <w:rsid w:val="00DC4529"/>
    <w:rsid w:val="00DD40ED"/>
    <w:rsid w:val="00E039D1"/>
    <w:rsid w:val="00E25266"/>
    <w:rsid w:val="00E42ED0"/>
    <w:rsid w:val="00E5502E"/>
    <w:rsid w:val="00E76B52"/>
    <w:rsid w:val="00EA04C0"/>
    <w:rsid w:val="00ED67FD"/>
    <w:rsid w:val="00EF752B"/>
    <w:rsid w:val="00EF75AA"/>
    <w:rsid w:val="00F2413C"/>
    <w:rsid w:val="00F55951"/>
    <w:rsid w:val="00F65779"/>
    <w:rsid w:val="00FA2C07"/>
    <w:rsid w:val="00FD16D4"/>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5"/>
    <o:shapelayout v:ext="edit">
      <o:idmap v:ext="edit" data="2"/>
    </o:shapelayout>
  </w:shapeDefaults>
  <w:decimalSymbol w:val=","/>
  <w:listSeparator w:val=";"/>
  <w14:docId w14:val="23801933"/>
  <w14:defaultImageDpi w14:val="300"/>
  <w15:chartTrackingRefBased/>
  <w15:docId w15:val="{2A1BA5BE-DD65-4BC5-83F8-32412F12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A642A4"/>
    <w:pPr>
      <w:keepNext/>
      <w:keepLines/>
      <w:spacing w:before="320" w:after="320"/>
      <w:outlineLvl w:val="0"/>
    </w:pPr>
    <w:rPr>
      <w:rFonts w:eastAsia="MS Gothic"/>
      <w:b/>
      <w:bCs/>
      <w:color w:val="2B3583"/>
      <w:sz w:val="40"/>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A642A4"/>
    <w:rPr>
      <w:rFonts w:ascii="Arial" w:eastAsia="MS Gothic" w:hAnsi="Arial"/>
      <w:b/>
      <w:bCs/>
      <w:color w:val="2B3583"/>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1"/>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customStyle="1" w:styleId="Emphaseple">
    <w:name w:val="Emphase pâle"/>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customStyle="1" w:styleId="Emphaseintense">
    <w:name w:val="Emphase intense"/>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2"/>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Cs w:val="24"/>
    </w:rPr>
  </w:style>
  <w:style w:type="paragraph" w:styleId="Citationintense">
    <w:name w:val="Intense Quote"/>
    <w:basedOn w:val="Normal"/>
    <w:next w:val="Normal"/>
    <w:link w:val="CitationintenseCar"/>
    <w:uiPriority w:val="30"/>
    <w:qFormat/>
    <w:rsid w:val="00895CF0"/>
    <w:pPr>
      <w:numPr>
        <w:numId w:val="3"/>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Cs w:val="24"/>
    </w:rPr>
  </w:style>
  <w:style w:type="character" w:customStyle="1" w:styleId="Rfrenceple">
    <w:name w:val="Référence pâl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5"/>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4"/>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unhideWhenUsed/>
    <w:rsid w:val="00E5502E"/>
    <w:pPr>
      <w:spacing w:after="120" w:line="480" w:lineRule="auto"/>
    </w:pPr>
  </w:style>
  <w:style w:type="character" w:customStyle="1" w:styleId="Corpsdetexte2Car">
    <w:name w:val="Corps de texte 2 Car"/>
    <w:link w:val="Corpsdetexte2"/>
    <w:uiPriority w:val="99"/>
    <w:rsid w:val="00E5502E"/>
    <w:rPr>
      <w:rFonts w:ascii="Arial" w:hAnsi="Arial"/>
      <w:szCs w:val="24"/>
    </w:rPr>
  </w:style>
  <w:style w:type="paragraph" w:customStyle="1" w:styleId="recours">
    <w:name w:val="recours"/>
    <w:basedOn w:val="Normal"/>
    <w:rsid w:val="00525F12"/>
    <w:pPr>
      <w:suppressAutoHyphens/>
      <w:autoSpaceDE w:val="0"/>
      <w:spacing w:line="240" w:lineRule="auto"/>
      <w:ind w:left="284" w:right="6095"/>
      <w:jc w:val="both"/>
    </w:pPr>
    <w:rPr>
      <w:rFonts w:ascii="Tahoma" w:eastAsia="Times New Roman" w:hAnsi="Tahoma" w:cs="Arial"/>
      <w:color w:val="007EA1"/>
      <w:sz w:val="16"/>
      <w:szCs w:val="16"/>
      <w:lang w:eastAsia="ar-SA"/>
    </w:rPr>
  </w:style>
  <w:style w:type="paragraph" w:customStyle="1" w:styleId="articlecontenu">
    <w:name w:val="article : contenu"/>
    <w:basedOn w:val="Normal"/>
    <w:rsid w:val="00525F12"/>
    <w:pPr>
      <w:autoSpaceDE w:val="0"/>
      <w:autoSpaceDN w:val="0"/>
      <w:spacing w:after="140" w:line="240" w:lineRule="auto"/>
      <w:ind w:firstLine="567"/>
      <w:jc w:val="both"/>
    </w:pPr>
    <w:rPr>
      <w:rFonts w:ascii="Tahoma" w:eastAsia="Times New Roman" w:hAnsi="Tahoma" w:cs="Arial"/>
      <w:color w:val="007EA1"/>
      <w:szCs w:val="20"/>
    </w:rPr>
  </w:style>
  <w:style w:type="paragraph" w:customStyle="1" w:styleId="Ontvotladelib">
    <w:name w:val="Ont voté la delib"/>
    <w:basedOn w:val="Normal"/>
    <w:rsid w:val="00141F40"/>
    <w:pPr>
      <w:autoSpaceDE w:val="0"/>
      <w:autoSpaceDN w:val="0"/>
      <w:spacing w:after="140" w:line="240" w:lineRule="auto"/>
      <w:jc w:val="both"/>
    </w:pPr>
    <w:rPr>
      <w:rFonts w:eastAsia="Times New Roman" w:cs="Arial"/>
      <w:szCs w:val="20"/>
    </w:rPr>
  </w:style>
  <w:style w:type="character" w:styleId="Mentionnonrsolue">
    <w:name w:val="Unresolved Mention"/>
    <w:basedOn w:val="Policepardfaut"/>
    <w:uiPriority w:val="99"/>
    <w:semiHidden/>
    <w:unhideWhenUsed/>
    <w:rsid w:val="00141F40"/>
    <w:rPr>
      <w:color w:val="605E5C"/>
      <w:shd w:val="clear" w:color="auto" w:fill="E1DFDD"/>
    </w:rPr>
  </w:style>
  <w:style w:type="paragraph" w:styleId="Corpsdetexte">
    <w:name w:val="Body Text"/>
    <w:basedOn w:val="Normal"/>
    <w:link w:val="CorpsdetexteCar"/>
    <w:uiPriority w:val="99"/>
    <w:unhideWhenUsed/>
    <w:rsid w:val="00F55951"/>
    <w:pPr>
      <w:spacing w:after="120"/>
    </w:pPr>
  </w:style>
  <w:style w:type="character" w:customStyle="1" w:styleId="CorpsdetexteCar">
    <w:name w:val="Corps de texte Car"/>
    <w:basedOn w:val="Policepardfaut"/>
    <w:link w:val="Corpsdetexte"/>
    <w:uiPriority w:val="99"/>
    <w:rsid w:val="00F55951"/>
    <w:rPr>
      <w:rFonts w:ascii="Arial" w:hAnsi="Arial"/>
      <w:szCs w:val="24"/>
    </w:rPr>
  </w:style>
  <w:style w:type="paragraph" w:customStyle="1" w:styleId="LeMairerappellepropose">
    <w:name w:val="Le Maire rappelle/propose"/>
    <w:basedOn w:val="Normal"/>
    <w:rsid w:val="00510A39"/>
    <w:pPr>
      <w:spacing w:before="240" w:after="240" w:line="240" w:lineRule="auto"/>
      <w:jc w:val="both"/>
    </w:pPr>
    <w:rPr>
      <w:rFonts w:eastAsia="Times New Roman"/>
      <w:b/>
      <w:szCs w:val="20"/>
    </w:rPr>
  </w:style>
  <w:style w:type="paragraph" w:customStyle="1" w:styleId="VuConsidrant">
    <w:name w:val="Vu.Considérant"/>
    <w:basedOn w:val="Normal"/>
    <w:rsid w:val="00510A39"/>
    <w:pPr>
      <w:spacing w:after="140" w:line="240" w:lineRule="auto"/>
      <w:jc w:val="both"/>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037">
      <w:bodyDiv w:val="1"/>
      <w:marLeft w:val="0"/>
      <w:marRight w:val="0"/>
      <w:marTop w:val="0"/>
      <w:marBottom w:val="0"/>
      <w:divBdr>
        <w:top w:val="none" w:sz="0" w:space="0" w:color="auto"/>
        <w:left w:val="none" w:sz="0" w:space="0" w:color="auto"/>
        <w:bottom w:val="none" w:sz="0" w:space="0" w:color="auto"/>
        <w:right w:val="none" w:sz="0" w:space="0" w:color="auto"/>
      </w:divBdr>
    </w:div>
    <w:div w:id="149176503">
      <w:bodyDiv w:val="1"/>
      <w:marLeft w:val="0"/>
      <w:marRight w:val="0"/>
      <w:marTop w:val="0"/>
      <w:marBottom w:val="0"/>
      <w:divBdr>
        <w:top w:val="none" w:sz="0" w:space="0" w:color="auto"/>
        <w:left w:val="none" w:sz="0" w:space="0" w:color="auto"/>
        <w:bottom w:val="none" w:sz="0" w:space="0" w:color="auto"/>
        <w:right w:val="none" w:sz="0" w:space="0" w:color="auto"/>
      </w:divBdr>
    </w:div>
    <w:div w:id="241985868">
      <w:bodyDiv w:val="1"/>
      <w:marLeft w:val="0"/>
      <w:marRight w:val="0"/>
      <w:marTop w:val="0"/>
      <w:marBottom w:val="0"/>
      <w:divBdr>
        <w:top w:val="none" w:sz="0" w:space="0" w:color="auto"/>
        <w:left w:val="none" w:sz="0" w:space="0" w:color="auto"/>
        <w:bottom w:val="none" w:sz="0" w:space="0" w:color="auto"/>
        <w:right w:val="none" w:sz="0" w:space="0" w:color="auto"/>
      </w:divBdr>
    </w:div>
    <w:div w:id="497967206">
      <w:bodyDiv w:val="1"/>
      <w:marLeft w:val="0"/>
      <w:marRight w:val="0"/>
      <w:marTop w:val="0"/>
      <w:marBottom w:val="0"/>
      <w:divBdr>
        <w:top w:val="none" w:sz="0" w:space="0" w:color="auto"/>
        <w:left w:val="none" w:sz="0" w:space="0" w:color="auto"/>
        <w:bottom w:val="none" w:sz="0" w:space="0" w:color="auto"/>
        <w:right w:val="none" w:sz="0" w:space="0" w:color="auto"/>
      </w:divBdr>
    </w:div>
    <w:div w:id="566457695">
      <w:bodyDiv w:val="1"/>
      <w:marLeft w:val="0"/>
      <w:marRight w:val="0"/>
      <w:marTop w:val="0"/>
      <w:marBottom w:val="0"/>
      <w:divBdr>
        <w:top w:val="none" w:sz="0" w:space="0" w:color="auto"/>
        <w:left w:val="none" w:sz="0" w:space="0" w:color="auto"/>
        <w:bottom w:val="none" w:sz="0" w:space="0" w:color="auto"/>
        <w:right w:val="none" w:sz="0" w:space="0" w:color="auto"/>
      </w:divBdr>
    </w:div>
    <w:div w:id="1345473755">
      <w:bodyDiv w:val="1"/>
      <w:marLeft w:val="0"/>
      <w:marRight w:val="0"/>
      <w:marTop w:val="0"/>
      <w:marBottom w:val="0"/>
      <w:divBdr>
        <w:top w:val="none" w:sz="0" w:space="0" w:color="auto"/>
        <w:left w:val="none" w:sz="0" w:space="0" w:color="auto"/>
        <w:bottom w:val="none" w:sz="0" w:space="0" w:color="auto"/>
        <w:right w:val="none" w:sz="0" w:space="0" w:color="auto"/>
      </w:divBdr>
    </w:div>
    <w:div w:id="19136550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breton\Downloads\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60DF-F422-4C1C-995B-C8033F06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modele-arretes.dotx</Template>
  <TotalTime>36</TotalTime>
  <Pages>5</Pages>
  <Words>1275</Words>
  <Characters>7015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8274</CharactersWithSpaces>
  <SharedDoc>false</SharedDoc>
  <HLinks>
    <vt:vector size="6" baseType="variant">
      <vt:variant>
        <vt:i4>7143540</vt:i4>
      </vt:variant>
      <vt:variant>
        <vt:i4>3</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GOUPIL Marie</dc:creator>
  <cp:keywords/>
  <cp:lastModifiedBy>DUVAL Michael</cp:lastModifiedBy>
  <cp:revision>9</cp:revision>
  <cp:lastPrinted>2014-01-28T13:31:00Z</cp:lastPrinted>
  <dcterms:created xsi:type="dcterms:W3CDTF">2025-01-30T12:57:00Z</dcterms:created>
  <dcterms:modified xsi:type="dcterms:W3CDTF">2025-01-30T13:40:00Z</dcterms:modified>
</cp:coreProperties>
</file>