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E39B" w14:textId="6D539839" w:rsidR="00D20441" w:rsidRDefault="00D20441" w:rsidP="00D20441">
      <w:pPr>
        <w:pStyle w:val="Titre1"/>
      </w:pPr>
      <w:r w:rsidRPr="00D20441">
        <w:rPr>
          <w:bCs/>
        </w:rPr>
        <w:t xml:space="preserve">Convention </w:t>
      </w:r>
      <w:r w:rsidR="001525D5" w:rsidRPr="001525D5">
        <w:rPr>
          <w:bCs/>
        </w:rPr>
        <w:t xml:space="preserve">relative à la </w:t>
      </w:r>
      <w:r w:rsidR="00F34C9F">
        <w:rPr>
          <w:bCs/>
        </w:rPr>
        <w:br/>
      </w:r>
      <w:r w:rsidR="001525D5" w:rsidRPr="001525D5">
        <w:rPr>
          <w:bCs/>
        </w:rPr>
        <w:t>période de préparation au reclassement (PPR)</w:t>
      </w:r>
    </w:p>
    <w:p w14:paraId="1856AD78" w14:textId="77777777" w:rsidR="00F34C9F" w:rsidRDefault="00F34C9F" w:rsidP="001525D5">
      <w:pPr>
        <w:ind w:right="-141"/>
        <w:jc w:val="both"/>
        <w:rPr>
          <w:b/>
          <w:bCs/>
        </w:rPr>
      </w:pPr>
    </w:p>
    <w:p w14:paraId="326E8D2C" w14:textId="3B03B57F" w:rsidR="001525D5" w:rsidRPr="001525D5" w:rsidRDefault="001525D5" w:rsidP="001525D5">
      <w:pPr>
        <w:ind w:right="-141"/>
        <w:jc w:val="both"/>
        <w:rPr>
          <w:b/>
          <w:bCs/>
        </w:rPr>
      </w:pPr>
      <w:r w:rsidRPr="001525D5">
        <w:rPr>
          <w:b/>
          <w:bCs/>
        </w:rPr>
        <w:t>Entre les soussignés,</w:t>
      </w:r>
    </w:p>
    <w:p w14:paraId="562A9EFC" w14:textId="77777777" w:rsidR="001525D5" w:rsidRPr="001525D5" w:rsidRDefault="001525D5" w:rsidP="001525D5">
      <w:pPr>
        <w:ind w:right="-141"/>
        <w:jc w:val="both"/>
        <w:rPr>
          <w:b/>
          <w:bCs/>
        </w:rPr>
      </w:pPr>
    </w:p>
    <w:p w14:paraId="3C2206C2" w14:textId="77777777" w:rsidR="001525D5" w:rsidRPr="001525D5" w:rsidRDefault="001525D5" w:rsidP="001525D5">
      <w:pPr>
        <w:spacing w:line="240" w:lineRule="auto"/>
        <w:jc w:val="both"/>
        <w:rPr>
          <w:rFonts w:eastAsia="Times New Roman" w:cs="Arial"/>
          <w:szCs w:val="20"/>
        </w:rPr>
      </w:pPr>
      <w:r w:rsidRPr="001525D5">
        <w:rPr>
          <w:rFonts w:eastAsia="Times New Roman" w:cs="Arial"/>
          <w:bCs/>
          <w:szCs w:val="20"/>
        </w:rPr>
        <w:t>Monsieur / Madame …</w:t>
      </w:r>
      <w:r w:rsidRPr="001525D5">
        <w:rPr>
          <w:rFonts w:eastAsia="Times New Roman" w:cs="Arial"/>
          <w:b/>
          <w:i/>
          <w:szCs w:val="20"/>
        </w:rPr>
        <w:t xml:space="preserve"> (</w:t>
      </w:r>
      <w:r w:rsidRPr="001525D5">
        <w:rPr>
          <w:rFonts w:eastAsia="Times New Roman" w:cs="Arial"/>
          <w:b/>
          <w:i/>
          <w:szCs w:val="20"/>
          <w:highlight w:val="yellow"/>
        </w:rPr>
        <w:t>à préciser et à compléter</w:t>
      </w:r>
      <w:r w:rsidRPr="001525D5">
        <w:rPr>
          <w:rFonts w:eastAsia="Times New Roman" w:cs="Arial"/>
          <w:b/>
          <w:i/>
          <w:szCs w:val="20"/>
        </w:rPr>
        <w:t>)</w:t>
      </w:r>
      <w:r w:rsidRPr="001525D5">
        <w:rPr>
          <w:rFonts w:eastAsia="Times New Roman" w:cs="Arial"/>
          <w:szCs w:val="20"/>
        </w:rPr>
        <w:t xml:space="preserve">, titulaire du grade </w:t>
      </w:r>
      <w:r w:rsidRPr="001525D5">
        <w:rPr>
          <w:rFonts w:eastAsia="Times New Roman" w:cs="Arial"/>
          <w:b/>
          <w:bCs/>
          <w:i/>
          <w:szCs w:val="20"/>
        </w:rPr>
        <w:t>… (</w:t>
      </w:r>
      <w:r w:rsidRPr="001525D5">
        <w:rPr>
          <w:rFonts w:eastAsia="Times New Roman" w:cs="Arial"/>
          <w:b/>
          <w:bCs/>
          <w:i/>
          <w:szCs w:val="20"/>
          <w:highlight w:val="yellow"/>
        </w:rPr>
        <w:t>à compléter</w:t>
      </w:r>
      <w:r w:rsidRPr="001525D5">
        <w:rPr>
          <w:rFonts w:eastAsia="Times New Roman" w:cs="Arial"/>
          <w:b/>
          <w:bCs/>
          <w:i/>
          <w:szCs w:val="20"/>
        </w:rPr>
        <w:t>)</w:t>
      </w:r>
      <w:r w:rsidRPr="001525D5">
        <w:rPr>
          <w:rFonts w:eastAsia="Times New Roman" w:cs="Arial"/>
          <w:bCs/>
          <w:szCs w:val="20"/>
        </w:rPr>
        <w:t xml:space="preserve">, demeurant </w:t>
      </w:r>
      <w:r w:rsidRPr="001525D5">
        <w:rPr>
          <w:rFonts w:eastAsia="Times New Roman" w:cs="Arial"/>
          <w:b/>
          <w:bCs/>
          <w:i/>
          <w:szCs w:val="20"/>
        </w:rPr>
        <w:t>(</w:t>
      </w:r>
      <w:r w:rsidRPr="001525D5">
        <w:rPr>
          <w:rFonts w:eastAsia="Times New Roman" w:cs="Arial"/>
          <w:b/>
          <w:bCs/>
          <w:i/>
          <w:szCs w:val="20"/>
          <w:highlight w:val="yellow"/>
        </w:rPr>
        <w:t>adresse à compléter</w:t>
      </w:r>
      <w:r w:rsidRPr="001525D5">
        <w:rPr>
          <w:rFonts w:eastAsia="Times New Roman" w:cs="Arial"/>
          <w:b/>
          <w:bCs/>
          <w:i/>
          <w:szCs w:val="20"/>
        </w:rPr>
        <w:t>)</w:t>
      </w:r>
      <w:r w:rsidRPr="001525D5">
        <w:rPr>
          <w:rFonts w:eastAsia="Times New Roman" w:cs="Arial"/>
          <w:szCs w:val="20"/>
        </w:rPr>
        <w:t>, ci-après désigné(e) « l’agent » ;</w:t>
      </w:r>
    </w:p>
    <w:p w14:paraId="006A18D2" w14:textId="77777777" w:rsidR="001525D5" w:rsidRPr="001525D5" w:rsidRDefault="001525D5" w:rsidP="001525D5">
      <w:pPr>
        <w:ind w:right="-141"/>
        <w:jc w:val="both"/>
        <w:rPr>
          <w:b/>
          <w:bCs/>
        </w:rPr>
      </w:pPr>
    </w:p>
    <w:p w14:paraId="0146E9B0" w14:textId="77777777" w:rsidR="001525D5" w:rsidRPr="001525D5" w:rsidRDefault="001525D5" w:rsidP="001525D5">
      <w:pPr>
        <w:ind w:right="-141"/>
        <w:jc w:val="both"/>
        <w:rPr>
          <w:b/>
          <w:bCs/>
        </w:rPr>
      </w:pPr>
      <w:r w:rsidRPr="001525D5">
        <w:rPr>
          <w:b/>
          <w:bCs/>
        </w:rPr>
        <w:t>D’une part,</w:t>
      </w:r>
    </w:p>
    <w:p w14:paraId="187FBDAA" w14:textId="77777777" w:rsidR="001525D5" w:rsidRPr="001525D5" w:rsidRDefault="001525D5" w:rsidP="001525D5">
      <w:pPr>
        <w:ind w:right="-141"/>
        <w:jc w:val="both"/>
        <w:rPr>
          <w:b/>
          <w:bCs/>
        </w:rPr>
      </w:pPr>
      <w:r w:rsidRPr="001525D5">
        <w:rPr>
          <w:b/>
          <w:bCs/>
        </w:rPr>
        <w:t>Et,</w:t>
      </w:r>
    </w:p>
    <w:p w14:paraId="779BCE9F" w14:textId="209ACA67" w:rsidR="001525D5" w:rsidRPr="001525D5" w:rsidRDefault="001525D5" w:rsidP="001525D5">
      <w:pPr>
        <w:ind w:right="-141"/>
        <w:jc w:val="both"/>
      </w:pPr>
      <w:r w:rsidRPr="001525D5">
        <w:rPr>
          <w:rFonts w:cs="Arial"/>
          <w:bCs/>
          <w:szCs w:val="20"/>
        </w:rPr>
        <w:t>Monsieur / Madame …</w:t>
      </w:r>
      <w:r w:rsidRPr="001525D5">
        <w:rPr>
          <w:rFonts w:cs="Arial"/>
          <w:b/>
          <w:i/>
          <w:szCs w:val="20"/>
        </w:rPr>
        <w:t xml:space="preserve"> (</w:t>
      </w:r>
      <w:r w:rsidRPr="001525D5">
        <w:rPr>
          <w:rFonts w:cs="Arial"/>
          <w:b/>
          <w:i/>
          <w:szCs w:val="20"/>
          <w:highlight w:val="yellow"/>
        </w:rPr>
        <w:t>à préciser et à compléter</w:t>
      </w:r>
      <w:r w:rsidRPr="001525D5">
        <w:rPr>
          <w:rFonts w:cs="Arial"/>
          <w:b/>
          <w:i/>
          <w:szCs w:val="20"/>
        </w:rPr>
        <w:t>)</w:t>
      </w:r>
      <w:r w:rsidRPr="001525D5">
        <w:rPr>
          <w:rFonts w:cs="Arial"/>
          <w:szCs w:val="20"/>
        </w:rPr>
        <w:t xml:space="preserve">, </w:t>
      </w:r>
      <w:r w:rsidRPr="001525D5">
        <w:t>Maire/Président…</w:t>
      </w:r>
      <w:r w:rsidRPr="001525D5">
        <w:rPr>
          <w:rFonts w:cs="Arial"/>
          <w:b/>
          <w:i/>
          <w:szCs w:val="20"/>
        </w:rPr>
        <w:t xml:space="preserve"> (</w:t>
      </w:r>
      <w:r w:rsidRPr="001525D5">
        <w:rPr>
          <w:rFonts w:cs="Arial"/>
          <w:b/>
          <w:i/>
          <w:szCs w:val="20"/>
          <w:highlight w:val="yellow"/>
        </w:rPr>
        <w:t>À préciser et à compléter</w:t>
      </w:r>
      <w:proofErr w:type="gramStart"/>
      <w:r w:rsidRPr="001525D5">
        <w:rPr>
          <w:rFonts w:cs="Arial"/>
          <w:b/>
          <w:i/>
          <w:szCs w:val="20"/>
        </w:rPr>
        <w:t>)</w:t>
      </w:r>
      <w:r w:rsidRPr="001525D5">
        <w:rPr>
          <w:rFonts w:cs="Arial"/>
          <w:szCs w:val="20"/>
        </w:rPr>
        <w:t xml:space="preserve">, </w:t>
      </w:r>
      <w:r w:rsidRPr="001525D5">
        <w:t xml:space="preserve"> représentant</w:t>
      </w:r>
      <w:proofErr w:type="gramEnd"/>
      <w:r w:rsidRPr="001525D5">
        <w:t xml:space="preserve"> …… (</w:t>
      </w:r>
      <w:r w:rsidRPr="001525D5">
        <w:rPr>
          <w:rFonts w:cs="Arial"/>
          <w:b/>
          <w:i/>
          <w:szCs w:val="20"/>
          <w:highlight w:val="yellow"/>
        </w:rPr>
        <w:t>Nom de la collectivité ou de l’employeur territorial</w:t>
      </w:r>
      <w:r w:rsidRPr="001525D5">
        <w:rPr>
          <w:rFonts w:cs="Arial"/>
          <w:b/>
          <w:i/>
          <w:szCs w:val="20"/>
        </w:rPr>
        <w:t xml:space="preserve"> </w:t>
      </w:r>
      <w:r w:rsidRPr="001525D5">
        <w:rPr>
          <w:rFonts w:cs="Arial"/>
          <w:b/>
          <w:i/>
          <w:szCs w:val="20"/>
          <w:highlight w:val="yellow"/>
        </w:rPr>
        <w:t>à préciser et à compléter</w:t>
      </w:r>
      <w:r w:rsidRPr="001525D5">
        <w:rPr>
          <w:rFonts w:cs="Arial"/>
          <w:b/>
          <w:i/>
          <w:szCs w:val="20"/>
        </w:rPr>
        <w:t>)</w:t>
      </w:r>
      <w:r w:rsidRPr="001525D5">
        <w:rPr>
          <w:rFonts w:cs="Arial"/>
          <w:szCs w:val="20"/>
        </w:rPr>
        <w:t>,</w:t>
      </w:r>
      <w:r w:rsidRPr="001525D5">
        <w:t xml:space="preserve"> dûment habilité, ci-après désigné(e) « l’employeur »</w:t>
      </w:r>
    </w:p>
    <w:p w14:paraId="2F52B398" w14:textId="77777777" w:rsidR="001525D5" w:rsidRPr="001525D5" w:rsidRDefault="001525D5" w:rsidP="001525D5">
      <w:pPr>
        <w:ind w:right="-141"/>
        <w:jc w:val="both"/>
        <w:rPr>
          <w:b/>
          <w:bCs/>
        </w:rPr>
      </w:pPr>
    </w:p>
    <w:p w14:paraId="34185293" w14:textId="77777777" w:rsidR="00F34C9F" w:rsidRDefault="00F34C9F" w:rsidP="001525D5">
      <w:pPr>
        <w:ind w:right="-141"/>
        <w:jc w:val="both"/>
        <w:rPr>
          <w:b/>
          <w:bCs/>
        </w:rPr>
      </w:pPr>
    </w:p>
    <w:p w14:paraId="12C099D3" w14:textId="5FCF7069" w:rsidR="001525D5" w:rsidRPr="001525D5" w:rsidRDefault="001525D5" w:rsidP="001525D5">
      <w:pPr>
        <w:ind w:right="-141"/>
        <w:jc w:val="both"/>
        <w:rPr>
          <w:b/>
          <w:bCs/>
        </w:rPr>
      </w:pPr>
      <w:r w:rsidRPr="001525D5">
        <w:rPr>
          <w:b/>
          <w:bCs/>
        </w:rPr>
        <w:t>D’autre part,</w:t>
      </w:r>
    </w:p>
    <w:p w14:paraId="01D9F1B2" w14:textId="77777777" w:rsidR="001525D5" w:rsidRPr="001525D5" w:rsidRDefault="001525D5" w:rsidP="001525D5">
      <w:pPr>
        <w:ind w:right="-141"/>
        <w:jc w:val="both"/>
        <w:rPr>
          <w:b/>
          <w:bCs/>
        </w:rPr>
      </w:pPr>
      <w:r w:rsidRPr="001525D5">
        <w:rPr>
          <w:b/>
          <w:bCs/>
        </w:rPr>
        <w:t>Et,</w:t>
      </w:r>
    </w:p>
    <w:p w14:paraId="2119FC6D" w14:textId="2424A77F" w:rsidR="001525D5" w:rsidRPr="001525D5" w:rsidRDefault="001525D5" w:rsidP="001525D5">
      <w:pPr>
        <w:ind w:right="-141"/>
        <w:jc w:val="both"/>
      </w:pPr>
      <w:r w:rsidRPr="001525D5">
        <w:t>Le Centre de Gestion de la Fonction Publique Territoriale du Morbihan, représenté par son Président M</w:t>
      </w:r>
      <w:r w:rsidR="00091520">
        <w:t>adame Gaëlle STRICOT</w:t>
      </w:r>
      <w:r w:rsidRPr="001525D5">
        <w:t>, ci-après désigné</w:t>
      </w:r>
      <w:r w:rsidR="00091520">
        <w:t>e</w:t>
      </w:r>
      <w:r w:rsidRPr="001525D5">
        <w:t xml:space="preserve"> « le CDG »</w:t>
      </w:r>
    </w:p>
    <w:p w14:paraId="7CF5B55E" w14:textId="77777777" w:rsidR="001525D5" w:rsidRPr="001525D5" w:rsidRDefault="001525D5" w:rsidP="001525D5">
      <w:pPr>
        <w:ind w:right="-141"/>
        <w:jc w:val="both"/>
      </w:pPr>
    </w:p>
    <w:p w14:paraId="02E9D650" w14:textId="77777777" w:rsidR="00F34C9F" w:rsidRDefault="00F34C9F" w:rsidP="001525D5">
      <w:pPr>
        <w:ind w:right="-141"/>
        <w:jc w:val="both"/>
        <w:rPr>
          <w:b/>
          <w:bCs/>
        </w:rPr>
      </w:pPr>
    </w:p>
    <w:p w14:paraId="793BCAD6" w14:textId="61DD53EF" w:rsidR="001525D5" w:rsidRPr="001525D5" w:rsidRDefault="001525D5" w:rsidP="001525D5">
      <w:pPr>
        <w:ind w:right="-141"/>
        <w:jc w:val="both"/>
        <w:rPr>
          <w:b/>
          <w:bCs/>
        </w:rPr>
      </w:pPr>
      <w:r w:rsidRPr="001525D5">
        <w:rPr>
          <w:b/>
          <w:bCs/>
        </w:rPr>
        <w:t>D’autre part,</w:t>
      </w:r>
    </w:p>
    <w:p w14:paraId="05E15EF8" w14:textId="77777777" w:rsidR="001525D5" w:rsidRPr="001525D5" w:rsidRDefault="001525D5" w:rsidP="001525D5">
      <w:pPr>
        <w:ind w:right="-141"/>
        <w:jc w:val="both"/>
      </w:pPr>
    </w:p>
    <w:p w14:paraId="516E4071" w14:textId="77777777" w:rsidR="001525D5" w:rsidRPr="001525D5" w:rsidRDefault="001525D5" w:rsidP="001525D5">
      <w:pPr>
        <w:ind w:right="-141"/>
        <w:jc w:val="both"/>
      </w:pPr>
      <w:r w:rsidRPr="001525D5">
        <w:t>Vu le Code Général de la fonction publique ;</w:t>
      </w:r>
    </w:p>
    <w:p w14:paraId="0DAB1628" w14:textId="77777777" w:rsidR="001525D5" w:rsidRPr="001525D5" w:rsidRDefault="001525D5" w:rsidP="001525D5">
      <w:pPr>
        <w:ind w:right="-141"/>
        <w:contextualSpacing/>
        <w:jc w:val="both"/>
      </w:pPr>
      <w:r w:rsidRPr="001525D5">
        <w:t>Vu le décret n° 85-1054 du 30 septembre 1985 relatif au reclassement des fonctionnaires territoriaux reconnus inaptes à l’exercice de leurs fonctions, modifié par le décret n° 2019-172 du 5 mars 2019 instituant une période de préparation au reclassement au profit des fonctionnaires territoriaux reconnus inaptes à l’exercice de leurs fonctions ;</w:t>
      </w:r>
    </w:p>
    <w:p w14:paraId="777DAD9B" w14:textId="77777777" w:rsidR="001525D5" w:rsidRPr="001525D5" w:rsidRDefault="001525D5" w:rsidP="001525D5">
      <w:pPr>
        <w:ind w:right="-141"/>
        <w:jc w:val="both"/>
      </w:pPr>
      <w:r w:rsidRPr="001525D5">
        <w:t>Vu</w:t>
      </w:r>
      <w:r w:rsidRPr="001525D5">
        <w:tab/>
        <w:t>le décret n° 2022-626 du 22 avril 2022 relatif au reclassement des fonctionnaires territoriaux reconnus inaptes à l’exercice de leurs fonctions ;</w:t>
      </w:r>
    </w:p>
    <w:p w14:paraId="2B7A128A" w14:textId="0885ABCC" w:rsidR="001525D5" w:rsidRPr="001525D5" w:rsidRDefault="001525D5" w:rsidP="001525D5">
      <w:pPr>
        <w:ind w:right="-141"/>
        <w:jc w:val="both"/>
      </w:pPr>
      <w:r w:rsidRPr="001525D5">
        <w:t>Vu</w:t>
      </w:r>
      <w:r w:rsidRPr="001525D5">
        <w:tab/>
        <w:t xml:space="preserve">l’avis du Conseil Médical en date du _______________________ déclarant l’agent inapte </w:t>
      </w:r>
      <w:r w:rsidR="00EE2D76" w:rsidRPr="001525D5">
        <w:t>à l’exercice</w:t>
      </w:r>
      <w:r w:rsidRPr="001525D5">
        <w:t xml:space="preserve"> des fonctions correspondant aux emplois de son grade ;</w:t>
      </w:r>
    </w:p>
    <w:p w14:paraId="0525FC19" w14:textId="77777777" w:rsidR="001525D5" w:rsidRPr="001525D5" w:rsidRDefault="001525D5" w:rsidP="001525D5">
      <w:pPr>
        <w:ind w:right="-141"/>
        <w:jc w:val="both"/>
      </w:pPr>
      <w:r w:rsidRPr="001525D5">
        <w:t>Considérant que l’agent, par courrier en date du _______________________ a été informé par l’autorité territoriale de son droit à bénéficier d’une Période de Préparation au Reclassement ;</w:t>
      </w:r>
    </w:p>
    <w:p w14:paraId="1D44F4E5" w14:textId="77777777" w:rsidR="001525D5" w:rsidRPr="001525D5" w:rsidRDefault="001525D5" w:rsidP="001525D5">
      <w:pPr>
        <w:ind w:right="-141"/>
        <w:jc w:val="both"/>
      </w:pPr>
      <w:r w:rsidRPr="001525D5">
        <w:t>Considérant que l’agent, par courrier en date du _______________________ a exprimé de manière claire et non équivoque, son souhait de bénéficier de cette Période de Préparation au Reclassement ;</w:t>
      </w:r>
    </w:p>
    <w:p w14:paraId="7973B64D" w14:textId="77777777" w:rsidR="001525D5" w:rsidRPr="001525D5" w:rsidRDefault="001525D5" w:rsidP="001525D5">
      <w:pPr>
        <w:ind w:right="-141"/>
        <w:jc w:val="both"/>
      </w:pPr>
      <w:r w:rsidRPr="001525D5">
        <w:t>Considérant que le service de médecine du travail, a été tenu informé le _______________________ (date du courrier) du projet de la présente convention, préalablement à la notification faite à l’agent ;</w:t>
      </w:r>
    </w:p>
    <w:p w14:paraId="3134FDDB" w14:textId="77777777" w:rsidR="00F34C9F" w:rsidRDefault="00F34C9F" w:rsidP="00F34C9F">
      <w:pPr>
        <w:keepNext/>
        <w:keepLines/>
        <w:jc w:val="both"/>
        <w:outlineLvl w:val="1"/>
        <w:rPr>
          <w:rFonts w:eastAsiaTheme="majorEastAsia" w:cstheme="majorBidi"/>
          <w:b/>
          <w:bCs/>
          <w:color w:val="2B3583"/>
          <w:sz w:val="28"/>
          <w:szCs w:val="26"/>
        </w:rPr>
      </w:pPr>
    </w:p>
    <w:p w14:paraId="29CE823D" w14:textId="50499063" w:rsidR="001525D5" w:rsidRPr="00F34C9F" w:rsidRDefault="001525D5" w:rsidP="00F34C9F">
      <w:pPr>
        <w:keepNext/>
        <w:keepLines/>
        <w:spacing w:after="240"/>
        <w:jc w:val="both"/>
        <w:outlineLvl w:val="1"/>
        <w:rPr>
          <w:rFonts w:eastAsiaTheme="majorEastAsia" w:cstheme="majorBidi"/>
          <w:b/>
          <w:bCs/>
          <w:color w:val="2B3583"/>
          <w:sz w:val="28"/>
          <w:szCs w:val="26"/>
        </w:rPr>
      </w:pPr>
      <w:r w:rsidRPr="00F34C9F">
        <w:rPr>
          <w:rFonts w:eastAsiaTheme="majorEastAsia" w:cstheme="majorBidi"/>
          <w:b/>
          <w:bCs/>
          <w:color w:val="2B3583"/>
          <w:sz w:val="28"/>
          <w:szCs w:val="26"/>
        </w:rPr>
        <w:t>Il est convenu ce qui suit</w:t>
      </w:r>
    </w:p>
    <w:p w14:paraId="726723D7" w14:textId="77777777" w:rsidR="001525D5" w:rsidRPr="001525D5" w:rsidRDefault="001525D5" w:rsidP="001525D5">
      <w:pPr>
        <w:keepNext/>
        <w:keepLines/>
        <w:spacing w:before="240" w:after="240"/>
        <w:ind w:left="720" w:hanging="360"/>
        <w:jc w:val="both"/>
        <w:outlineLvl w:val="2"/>
        <w:rPr>
          <w:rFonts w:eastAsiaTheme="majorEastAsia" w:cstheme="majorBidi"/>
          <w:b/>
          <w:bCs/>
        </w:rPr>
      </w:pPr>
      <w:r w:rsidRPr="001525D5">
        <w:rPr>
          <w:rFonts w:eastAsiaTheme="majorEastAsia" w:cstheme="majorBidi"/>
          <w:b/>
          <w:bCs/>
        </w:rPr>
        <w:t>Objet de la convention</w:t>
      </w:r>
    </w:p>
    <w:p w14:paraId="79D6EC75" w14:textId="77777777" w:rsidR="001525D5" w:rsidRPr="001525D5" w:rsidRDefault="001525D5" w:rsidP="001525D5">
      <w:pPr>
        <w:ind w:right="-141"/>
        <w:jc w:val="both"/>
      </w:pPr>
      <w:r w:rsidRPr="001525D5">
        <w:t>La présente convention a pour objet de définir les modalités de mise en œuvre d’une Période de Préparation au Reclassement (PPR), laquelle consiste à préparer, et le cas échéant, à qualifier l’agent, pour l’occupation de nouveaux emplois compatibles avec son état de santé, s’il y a lieu en dehors de sa collectivité ou son établissement public d’origine.</w:t>
      </w:r>
    </w:p>
    <w:p w14:paraId="453A405C" w14:textId="77777777" w:rsidR="001525D5" w:rsidRPr="001525D5" w:rsidRDefault="001525D5" w:rsidP="001525D5">
      <w:pPr>
        <w:ind w:right="-141"/>
        <w:jc w:val="both"/>
      </w:pPr>
    </w:p>
    <w:p w14:paraId="66C3ED00" w14:textId="77777777" w:rsidR="001525D5" w:rsidRPr="001525D5" w:rsidRDefault="001525D5" w:rsidP="001525D5">
      <w:pPr>
        <w:ind w:right="-141"/>
        <w:jc w:val="both"/>
      </w:pPr>
      <w:r w:rsidRPr="001525D5">
        <w:t>A cet effet, la PPR peut comporter, dans la collectivité d’origine de l’agent ou dans toute administration ou établissement public mentionnés à l’article L 2 du Code Général de la fonction publique, des périodes de formation, ou d’immersion sur un ou plusieurs postes.</w:t>
      </w:r>
    </w:p>
    <w:p w14:paraId="05680234" w14:textId="77777777" w:rsidR="001525D5" w:rsidRPr="001525D5" w:rsidRDefault="001525D5" w:rsidP="001525D5">
      <w:pPr>
        <w:keepNext/>
        <w:keepLines/>
        <w:spacing w:before="240" w:after="240"/>
        <w:ind w:left="720" w:hanging="360"/>
        <w:jc w:val="both"/>
        <w:outlineLvl w:val="2"/>
        <w:rPr>
          <w:rFonts w:eastAsiaTheme="majorEastAsia" w:cstheme="majorBidi"/>
          <w:b/>
          <w:bCs/>
        </w:rPr>
      </w:pPr>
      <w:r w:rsidRPr="001525D5">
        <w:rPr>
          <w:rFonts w:eastAsiaTheme="majorEastAsia" w:cstheme="majorBidi"/>
          <w:b/>
          <w:bCs/>
        </w:rPr>
        <w:t xml:space="preserve">Durée </w:t>
      </w:r>
    </w:p>
    <w:p w14:paraId="02293945" w14:textId="77777777" w:rsidR="001525D5" w:rsidRPr="001525D5" w:rsidRDefault="001525D5" w:rsidP="001525D5">
      <w:pPr>
        <w:rPr>
          <w:rFonts w:cs="Arial"/>
          <w:bCs/>
          <w:szCs w:val="20"/>
        </w:rPr>
      </w:pPr>
      <w:r w:rsidRPr="001525D5">
        <w:t xml:space="preserve">La présente convention débute à compter du      /     /   </w:t>
      </w:r>
      <w:proofErr w:type="gramStart"/>
      <w:r w:rsidRPr="001525D5">
        <w:t xml:space="preserve">   </w:t>
      </w:r>
      <w:r w:rsidRPr="001525D5">
        <w:rPr>
          <w:rFonts w:cs="Arial"/>
          <w:b/>
          <w:bCs/>
          <w:i/>
          <w:szCs w:val="20"/>
        </w:rPr>
        <w:t>(</w:t>
      </w:r>
      <w:proofErr w:type="gramEnd"/>
      <w:r w:rsidRPr="001525D5">
        <w:rPr>
          <w:rFonts w:cs="Arial"/>
          <w:b/>
          <w:bCs/>
          <w:i/>
          <w:szCs w:val="20"/>
          <w:highlight w:val="yellow"/>
        </w:rPr>
        <w:t>à compléter</w:t>
      </w:r>
      <w:r w:rsidRPr="001525D5">
        <w:rPr>
          <w:rFonts w:cs="Arial"/>
          <w:b/>
          <w:bCs/>
          <w:i/>
          <w:szCs w:val="20"/>
        </w:rPr>
        <w:t>)</w:t>
      </w:r>
      <w:r w:rsidRPr="001525D5">
        <w:rPr>
          <w:rFonts w:cs="Arial"/>
          <w:bCs/>
          <w:szCs w:val="20"/>
        </w:rPr>
        <w:t xml:space="preserve"> / </w:t>
      </w:r>
      <w:r w:rsidRPr="001525D5">
        <w:rPr>
          <w:i/>
        </w:rPr>
        <w:t xml:space="preserve"> </w:t>
      </w:r>
      <w:r w:rsidRPr="001525D5">
        <w:rPr>
          <w:rFonts w:cs="Arial"/>
          <w:bCs/>
          <w:i/>
          <w:szCs w:val="20"/>
        </w:rPr>
        <w:t>date de réception de l’avis du conseil médical OU date de sollicitation de l’avis du conseil médical OU à la reprise des fonctions au terme de congés pour raison de santé, congé pour invalidité imputable au service, congé de maternité, congé liés aux charges parentales (L 631-6 à L 631-9 du CGFP)</w:t>
      </w:r>
    </w:p>
    <w:p w14:paraId="0286BE46" w14:textId="7F703A70" w:rsidR="001525D5" w:rsidRDefault="001525D5" w:rsidP="001525D5"/>
    <w:p w14:paraId="0F7ED3B3" w14:textId="3E36FFAC" w:rsidR="00EE2D76" w:rsidRPr="001525D5" w:rsidRDefault="00EE2D76" w:rsidP="001525D5">
      <w:r>
        <w:t xml:space="preserve">La durée de la présente convention est de 6 mois renouvelables, </w:t>
      </w:r>
      <w:r w:rsidR="00091520">
        <w:t xml:space="preserve">une </w:t>
      </w:r>
      <w:proofErr w:type="gramStart"/>
      <w:r w:rsidR="00091520">
        <w:t>fois ,</w:t>
      </w:r>
      <w:proofErr w:type="gramEnd"/>
      <w:r w:rsidR="00091520">
        <w:t xml:space="preserve"> </w:t>
      </w:r>
      <w:r>
        <w:t>dans le cadre des dispositions en vigueur.</w:t>
      </w:r>
    </w:p>
    <w:p w14:paraId="7BFBA184" w14:textId="77777777" w:rsidR="00EE2D76" w:rsidRDefault="00EE2D76" w:rsidP="001525D5">
      <w:pPr>
        <w:jc w:val="both"/>
        <w:rPr>
          <w:szCs w:val="20"/>
        </w:rPr>
      </w:pPr>
    </w:p>
    <w:p w14:paraId="05CFA453" w14:textId="77777777" w:rsidR="001525D5" w:rsidRPr="001525D5" w:rsidRDefault="001525D5" w:rsidP="001525D5">
      <w:pPr>
        <w:jc w:val="both"/>
        <w:rPr>
          <w:rFonts w:cs="Arial"/>
          <w:bCs/>
          <w:szCs w:val="20"/>
        </w:rPr>
      </w:pPr>
    </w:p>
    <w:p w14:paraId="09DFC485" w14:textId="77777777" w:rsidR="001525D5" w:rsidRPr="001525D5" w:rsidRDefault="001525D5" w:rsidP="001525D5">
      <w:pPr>
        <w:jc w:val="both"/>
        <w:rPr>
          <w:rFonts w:cs="Arial"/>
          <w:bCs/>
          <w:szCs w:val="20"/>
        </w:rPr>
      </w:pPr>
      <w:r w:rsidRPr="001525D5">
        <w:rPr>
          <w:rFonts w:cs="Arial"/>
          <w:bCs/>
          <w:szCs w:val="20"/>
        </w:rPr>
        <w:t>La période de PPR peut être suspendue ou prolongée</w:t>
      </w:r>
    </w:p>
    <w:p w14:paraId="6882D6EA" w14:textId="77777777" w:rsidR="001525D5" w:rsidRPr="001525D5" w:rsidRDefault="001525D5" w:rsidP="001525D5">
      <w:pPr>
        <w:contextualSpacing/>
        <w:rPr>
          <w:szCs w:val="20"/>
        </w:rPr>
      </w:pPr>
    </w:p>
    <w:p w14:paraId="7E7BBC79" w14:textId="0AB0F092" w:rsidR="001525D5" w:rsidRPr="001525D5" w:rsidRDefault="001525D5" w:rsidP="001525D5">
      <w:pPr>
        <w:contextualSpacing/>
        <w:rPr>
          <w:rFonts w:cs="Arial"/>
          <w:bCs/>
          <w:szCs w:val="20"/>
        </w:rPr>
      </w:pPr>
      <w:r w:rsidRPr="001525D5">
        <w:rPr>
          <w:szCs w:val="20"/>
        </w:rPr>
        <w:t xml:space="preserve">Suite à la présentation par l’agent d’une demande de reclassement, l’agent sera maintenu en position d’activité jusqu’à la date de prise d’effet de ce reclassement, dans la limite d’une durée maximum de </w:t>
      </w:r>
      <w:proofErr w:type="gramStart"/>
      <w:r w:rsidRPr="001525D5">
        <w:rPr>
          <w:szCs w:val="20"/>
        </w:rPr>
        <w:t>trois mois prescrite</w:t>
      </w:r>
      <w:proofErr w:type="gramEnd"/>
      <w:r w:rsidRPr="001525D5">
        <w:rPr>
          <w:szCs w:val="20"/>
        </w:rPr>
        <w:t xml:space="preserve"> pour la conduite de la procédure de reclassement. </w:t>
      </w:r>
    </w:p>
    <w:p w14:paraId="6BFA7C9E" w14:textId="77777777" w:rsidR="001525D5" w:rsidRPr="001525D5" w:rsidRDefault="001525D5" w:rsidP="001525D5"/>
    <w:p w14:paraId="038BB39C" w14:textId="77777777" w:rsidR="001525D5" w:rsidRPr="001525D5" w:rsidRDefault="001525D5" w:rsidP="001525D5">
      <w:pPr>
        <w:spacing w:line="240" w:lineRule="auto"/>
        <w:jc w:val="both"/>
        <w:rPr>
          <w:rFonts w:eastAsia="Times New Roman" w:cs="Arial"/>
          <w:szCs w:val="20"/>
        </w:rPr>
      </w:pPr>
      <w:r w:rsidRPr="001525D5">
        <w:rPr>
          <w:rFonts w:eastAsia="Times New Roman" w:cs="Arial"/>
          <w:szCs w:val="20"/>
        </w:rPr>
        <w:t>La période de préparation au reclassement prendra fin de manière anticipée :</w:t>
      </w:r>
    </w:p>
    <w:p w14:paraId="2176250A" w14:textId="77777777" w:rsidR="001525D5" w:rsidRPr="001525D5" w:rsidRDefault="001525D5" w:rsidP="001525D5">
      <w:pPr>
        <w:spacing w:line="240" w:lineRule="auto"/>
        <w:jc w:val="both"/>
        <w:rPr>
          <w:rFonts w:eastAsia="Times New Roman" w:cs="Arial"/>
          <w:szCs w:val="20"/>
        </w:rPr>
      </w:pPr>
    </w:p>
    <w:p w14:paraId="4C77C168" w14:textId="77777777" w:rsidR="001525D5" w:rsidRPr="001525D5" w:rsidRDefault="001525D5" w:rsidP="001525D5">
      <w:pPr>
        <w:numPr>
          <w:ilvl w:val="0"/>
          <w:numId w:val="31"/>
        </w:numPr>
        <w:spacing w:line="240" w:lineRule="auto"/>
        <w:jc w:val="both"/>
        <w:rPr>
          <w:rFonts w:eastAsia="Times New Roman" w:cs="Arial"/>
          <w:szCs w:val="20"/>
        </w:rPr>
      </w:pPr>
      <w:r w:rsidRPr="001525D5">
        <w:rPr>
          <w:rFonts w:eastAsia="Times New Roman" w:cs="Arial"/>
          <w:szCs w:val="20"/>
        </w:rPr>
        <w:t>En cas de reclassement de l’agent au cours de cette période. La présente convention prendra fin de plein droit à la date de prise d’effet de ce reclassement ;</w:t>
      </w:r>
    </w:p>
    <w:p w14:paraId="29438547" w14:textId="77777777" w:rsidR="001525D5" w:rsidRPr="001525D5" w:rsidRDefault="001525D5" w:rsidP="001525D5">
      <w:pPr>
        <w:numPr>
          <w:ilvl w:val="0"/>
          <w:numId w:val="31"/>
        </w:numPr>
        <w:spacing w:line="240" w:lineRule="auto"/>
        <w:jc w:val="both"/>
        <w:rPr>
          <w:rFonts w:eastAsia="Times New Roman" w:cs="Arial"/>
          <w:szCs w:val="20"/>
        </w:rPr>
      </w:pPr>
      <w:r w:rsidRPr="001525D5">
        <w:rPr>
          <w:rFonts w:eastAsia="Times New Roman" w:cs="Arial"/>
          <w:szCs w:val="20"/>
        </w:rPr>
        <w:t>En cas d’avis d’aptitude rendu par le conseil médical ;</w:t>
      </w:r>
    </w:p>
    <w:p w14:paraId="1E5CCE1C" w14:textId="77777777" w:rsidR="001525D5" w:rsidRPr="001525D5" w:rsidRDefault="001525D5" w:rsidP="001525D5">
      <w:pPr>
        <w:numPr>
          <w:ilvl w:val="0"/>
          <w:numId w:val="31"/>
        </w:numPr>
        <w:spacing w:line="240" w:lineRule="auto"/>
        <w:jc w:val="both"/>
        <w:rPr>
          <w:rFonts w:eastAsia="Times New Roman" w:cs="Arial"/>
          <w:szCs w:val="20"/>
        </w:rPr>
      </w:pPr>
      <w:r w:rsidRPr="001525D5">
        <w:rPr>
          <w:rFonts w:eastAsia="Times New Roman" w:cs="Arial"/>
          <w:szCs w:val="20"/>
        </w:rPr>
        <w:t>En cas de manquements caractérisés au respect des termes prévus dans la présente convention. Il pourra être mis à la convention, dès la constatation du non-respect des obligations.</w:t>
      </w:r>
    </w:p>
    <w:p w14:paraId="695BCF6D" w14:textId="77777777" w:rsidR="001525D5" w:rsidRPr="001525D5" w:rsidRDefault="001525D5" w:rsidP="001525D5">
      <w:pPr>
        <w:spacing w:line="240" w:lineRule="auto"/>
        <w:jc w:val="both"/>
        <w:rPr>
          <w:rFonts w:eastAsia="Times New Roman" w:cs="Arial"/>
          <w:szCs w:val="20"/>
        </w:rPr>
      </w:pPr>
    </w:p>
    <w:p w14:paraId="02317ED7" w14:textId="77777777" w:rsidR="001525D5" w:rsidRPr="001525D5" w:rsidRDefault="001525D5" w:rsidP="001525D5">
      <w:pPr>
        <w:spacing w:line="240" w:lineRule="auto"/>
        <w:jc w:val="both"/>
        <w:rPr>
          <w:rFonts w:eastAsia="Times New Roman" w:cs="Arial"/>
          <w:szCs w:val="20"/>
        </w:rPr>
      </w:pPr>
      <w:r w:rsidRPr="001525D5">
        <w:rPr>
          <w:rFonts w:eastAsia="Times New Roman" w:cs="Arial"/>
          <w:szCs w:val="20"/>
        </w:rPr>
        <w:t>En outre, l’agent peut à tout moment renoncer par écrit au bénéfice de la PPR. Dans ce cas la présente convention est résiliée de plein droit à la date de réception de la demande de l’agent soit par son employeur soit par le CDG.</w:t>
      </w:r>
    </w:p>
    <w:p w14:paraId="3FDBA358" w14:textId="77777777" w:rsidR="001525D5" w:rsidRPr="001525D5" w:rsidRDefault="001525D5" w:rsidP="001525D5">
      <w:pPr>
        <w:keepNext/>
        <w:keepLines/>
        <w:spacing w:before="240" w:after="240"/>
        <w:ind w:left="720" w:hanging="360"/>
        <w:jc w:val="both"/>
        <w:outlineLvl w:val="2"/>
        <w:rPr>
          <w:rFonts w:eastAsiaTheme="majorEastAsia" w:cstheme="majorBidi"/>
          <w:b/>
          <w:bCs/>
        </w:rPr>
      </w:pPr>
      <w:r w:rsidRPr="001525D5">
        <w:rPr>
          <w:rFonts w:eastAsiaTheme="majorEastAsia" w:cstheme="majorBidi"/>
          <w:b/>
          <w:bCs/>
        </w:rPr>
        <w:t xml:space="preserve"> Plan d’action proposé à l’agent</w:t>
      </w:r>
    </w:p>
    <w:p w14:paraId="68164B5F" w14:textId="77777777" w:rsidR="001525D5" w:rsidRPr="001525D5" w:rsidRDefault="001525D5" w:rsidP="001525D5">
      <w:pPr>
        <w:ind w:right="-141"/>
        <w:jc w:val="both"/>
      </w:pPr>
      <w:r w:rsidRPr="001525D5">
        <w:t xml:space="preserve"> La période de préparation au reclassement peut comporter notamment les actions de préparation suivantes :</w:t>
      </w:r>
    </w:p>
    <w:p w14:paraId="3A567BA4" w14:textId="77777777" w:rsidR="001525D5" w:rsidRPr="001525D5" w:rsidRDefault="001525D5" w:rsidP="001525D5">
      <w:pPr>
        <w:ind w:left="720" w:hanging="360"/>
        <w:contextualSpacing/>
        <w:jc w:val="both"/>
      </w:pPr>
      <w:r w:rsidRPr="001525D5">
        <w:t>Bilan professionnel ;</w:t>
      </w:r>
    </w:p>
    <w:p w14:paraId="22D20D49" w14:textId="77777777" w:rsidR="001525D5" w:rsidRPr="001525D5" w:rsidRDefault="001525D5" w:rsidP="001525D5">
      <w:pPr>
        <w:ind w:left="720" w:hanging="360"/>
        <w:contextualSpacing/>
        <w:jc w:val="both"/>
      </w:pPr>
      <w:r w:rsidRPr="001525D5">
        <w:t>Périodes de formation ;</w:t>
      </w:r>
    </w:p>
    <w:p w14:paraId="6F5460AA" w14:textId="77777777" w:rsidR="001525D5" w:rsidRPr="001525D5" w:rsidRDefault="001525D5" w:rsidP="00F34C9F">
      <w:pPr>
        <w:ind w:left="360"/>
        <w:contextualSpacing/>
        <w:jc w:val="both"/>
      </w:pPr>
      <w:r w:rsidRPr="001525D5">
        <w:t>Périodes d’immersion, sur un ou plusieurs postes, le cas échéant, auprès d’un employeur public différent de celui dont relève l’agent.</w:t>
      </w:r>
    </w:p>
    <w:p w14:paraId="130D4DFA" w14:textId="77777777" w:rsidR="001525D5" w:rsidRPr="001525D5" w:rsidRDefault="001525D5" w:rsidP="001525D5">
      <w:pPr>
        <w:ind w:left="720"/>
        <w:contextualSpacing/>
        <w:jc w:val="both"/>
      </w:pPr>
    </w:p>
    <w:p w14:paraId="007518CF" w14:textId="77777777" w:rsidR="001525D5" w:rsidRPr="001525D5" w:rsidRDefault="001525D5" w:rsidP="001525D5">
      <w:pPr>
        <w:ind w:left="720"/>
        <w:contextualSpacing/>
        <w:jc w:val="both"/>
      </w:pPr>
    </w:p>
    <w:p w14:paraId="27457E63" w14:textId="77777777" w:rsidR="001525D5" w:rsidRPr="001525D5" w:rsidRDefault="001525D5" w:rsidP="00F34C9F">
      <w:pPr>
        <w:contextualSpacing/>
        <w:jc w:val="both"/>
      </w:pPr>
      <w:r w:rsidRPr="001525D5">
        <w:lastRenderedPageBreak/>
        <w:t xml:space="preserve">Afin de définir les emplois pouvant être occupés par l’agent, il est envisagé les actions suivantes : </w:t>
      </w:r>
      <w:r w:rsidRPr="001525D5">
        <w:rPr>
          <w:i/>
        </w:rPr>
        <w:t>(</w:t>
      </w:r>
      <w:r w:rsidRPr="001525D5">
        <w:rPr>
          <w:i/>
          <w:highlight w:val="yellow"/>
        </w:rPr>
        <w:t>à adapter en fonction du projet professionnel de l’agent, par exemple : bilan professionnel, accompagnement personnalisé, ateliers d’évolution professionnelle…), préciser ci-après les 1ères actions validées, après concertation avec l’agent)</w:t>
      </w:r>
    </w:p>
    <w:p w14:paraId="300E76DB" w14:textId="77777777" w:rsidR="001525D5" w:rsidRPr="001525D5" w:rsidRDefault="001525D5" w:rsidP="001525D5">
      <w:pPr>
        <w:jc w:val="both"/>
      </w:pPr>
    </w:p>
    <w:p w14:paraId="35F27B33" w14:textId="77777777" w:rsidR="001525D5" w:rsidRPr="001525D5" w:rsidRDefault="001525D5" w:rsidP="001525D5">
      <w:pPr>
        <w:widowControl w:val="0"/>
        <w:spacing w:line="240" w:lineRule="auto"/>
        <w:ind w:left="1851" w:right="-20"/>
        <w:jc w:val="both"/>
        <w:rPr>
          <w:rFonts w:eastAsia="Times New Roman" w:cs="Arial"/>
          <w:sz w:val="21"/>
          <w:szCs w:val="21"/>
          <w:lang w:eastAsia="en-US"/>
        </w:rPr>
      </w:pPr>
      <w:r w:rsidRPr="001525D5">
        <w:rPr>
          <w:rFonts w:eastAsia="Times New Roman" w:cs="Arial"/>
          <w:sz w:val="21"/>
          <w:szCs w:val="21"/>
          <w:lang w:eastAsia="en-US"/>
        </w:rPr>
        <w:t>- _____________________________________________________ ;</w:t>
      </w:r>
    </w:p>
    <w:p w14:paraId="326D283C" w14:textId="77777777" w:rsidR="001525D5" w:rsidRPr="001525D5" w:rsidRDefault="001525D5" w:rsidP="001525D5">
      <w:pPr>
        <w:widowControl w:val="0"/>
        <w:spacing w:line="240" w:lineRule="auto"/>
        <w:ind w:left="1851" w:right="-20"/>
        <w:jc w:val="both"/>
        <w:rPr>
          <w:rFonts w:eastAsia="Times New Roman" w:cs="Arial"/>
          <w:sz w:val="21"/>
          <w:szCs w:val="21"/>
          <w:lang w:eastAsia="en-US"/>
        </w:rPr>
      </w:pPr>
      <w:r w:rsidRPr="001525D5">
        <w:rPr>
          <w:rFonts w:eastAsia="Times New Roman" w:cs="Arial"/>
          <w:sz w:val="21"/>
          <w:szCs w:val="21"/>
          <w:lang w:eastAsia="en-US"/>
        </w:rPr>
        <w:t>- _____________________________________________________ ;</w:t>
      </w:r>
    </w:p>
    <w:p w14:paraId="20AD59B8" w14:textId="77777777" w:rsidR="001525D5" w:rsidRPr="001525D5" w:rsidRDefault="001525D5" w:rsidP="001525D5">
      <w:pPr>
        <w:widowControl w:val="0"/>
        <w:spacing w:line="240" w:lineRule="auto"/>
        <w:ind w:left="1851" w:right="-20"/>
        <w:jc w:val="both"/>
        <w:rPr>
          <w:rFonts w:eastAsia="Times New Roman" w:cs="Arial"/>
          <w:sz w:val="21"/>
          <w:szCs w:val="21"/>
          <w:lang w:eastAsia="en-US"/>
        </w:rPr>
      </w:pPr>
      <w:r w:rsidRPr="001525D5">
        <w:rPr>
          <w:rFonts w:eastAsia="Times New Roman" w:cs="Arial"/>
          <w:sz w:val="21"/>
          <w:szCs w:val="21"/>
          <w:lang w:eastAsia="en-US"/>
        </w:rPr>
        <w:t>- _____________________________________________________ ;</w:t>
      </w:r>
    </w:p>
    <w:p w14:paraId="3557AC1B" w14:textId="77777777" w:rsidR="001525D5" w:rsidRPr="001525D5" w:rsidRDefault="001525D5" w:rsidP="001525D5">
      <w:pPr>
        <w:widowControl w:val="0"/>
        <w:spacing w:line="240" w:lineRule="auto"/>
        <w:ind w:left="1851" w:right="-20"/>
        <w:jc w:val="both"/>
        <w:rPr>
          <w:rFonts w:eastAsia="Times New Roman" w:cs="Arial"/>
          <w:sz w:val="21"/>
          <w:szCs w:val="21"/>
          <w:lang w:eastAsia="en-US"/>
        </w:rPr>
      </w:pPr>
      <w:r w:rsidRPr="001525D5">
        <w:rPr>
          <w:rFonts w:eastAsia="Times New Roman" w:cs="Arial"/>
          <w:sz w:val="21"/>
          <w:szCs w:val="21"/>
          <w:lang w:eastAsia="en-US"/>
        </w:rPr>
        <w:t>- _____________________________________________________.</w:t>
      </w:r>
    </w:p>
    <w:p w14:paraId="7F724D7D" w14:textId="77777777" w:rsidR="001525D5" w:rsidRPr="001525D5" w:rsidRDefault="001525D5" w:rsidP="001525D5">
      <w:pPr>
        <w:widowControl w:val="0"/>
        <w:spacing w:line="240" w:lineRule="auto"/>
        <w:ind w:right="11"/>
        <w:jc w:val="both"/>
        <w:rPr>
          <w:rFonts w:eastAsia="Times New Roman" w:cs="Arial"/>
          <w:sz w:val="21"/>
          <w:szCs w:val="21"/>
          <w:lang w:eastAsia="en-US"/>
        </w:rPr>
      </w:pPr>
    </w:p>
    <w:p w14:paraId="5F13B1C3" w14:textId="77777777" w:rsidR="001525D5" w:rsidRPr="001525D5" w:rsidRDefault="001525D5" w:rsidP="001525D5">
      <w:pPr>
        <w:ind w:left="720"/>
        <w:contextualSpacing/>
        <w:jc w:val="both"/>
        <w:rPr>
          <w:rFonts w:cs="Arial"/>
        </w:rPr>
      </w:pPr>
    </w:p>
    <w:p w14:paraId="119781B3" w14:textId="77777777" w:rsidR="001525D5" w:rsidRPr="001525D5" w:rsidRDefault="001525D5" w:rsidP="001525D5">
      <w:pPr>
        <w:jc w:val="both"/>
      </w:pPr>
      <w:r w:rsidRPr="001525D5">
        <w:t>Les actions proposées doivent être compatibles avec l’état de santé de l’agent. À cet effet un avis médical peut être sollicité.</w:t>
      </w:r>
    </w:p>
    <w:p w14:paraId="7C576D2A" w14:textId="77777777" w:rsidR="001525D5" w:rsidRPr="001525D5" w:rsidRDefault="001525D5" w:rsidP="001525D5">
      <w:pPr>
        <w:keepNext/>
        <w:keepLines/>
        <w:spacing w:before="240" w:after="240"/>
        <w:ind w:left="720" w:hanging="360"/>
        <w:jc w:val="both"/>
        <w:outlineLvl w:val="2"/>
        <w:rPr>
          <w:rFonts w:eastAsiaTheme="majorEastAsia" w:cstheme="majorBidi"/>
          <w:b/>
          <w:bCs/>
        </w:rPr>
      </w:pPr>
      <w:r w:rsidRPr="001525D5">
        <w:rPr>
          <w:rFonts w:eastAsiaTheme="majorEastAsia" w:cstheme="majorBidi"/>
          <w:b/>
          <w:bCs/>
        </w:rPr>
        <w:t>Formalisation et financement des actions mises en œuvre dans le cadre de la PPR</w:t>
      </w:r>
    </w:p>
    <w:p w14:paraId="4103ECDA" w14:textId="77777777" w:rsidR="001525D5" w:rsidRPr="001525D5" w:rsidRDefault="001525D5" w:rsidP="001525D5">
      <w:pPr>
        <w:ind w:right="-141"/>
        <w:jc w:val="both"/>
      </w:pPr>
      <w:r w:rsidRPr="001525D5">
        <w:t>Chacune des actions est décidée d’un commun d’accord entre l’employeur et l’agent, au regard du projet de reclassement.</w:t>
      </w:r>
    </w:p>
    <w:p w14:paraId="4EA24621" w14:textId="77777777" w:rsidR="001525D5" w:rsidRPr="001525D5" w:rsidRDefault="001525D5" w:rsidP="001525D5">
      <w:pPr>
        <w:ind w:right="-141"/>
        <w:jc w:val="both"/>
      </w:pPr>
    </w:p>
    <w:p w14:paraId="42693F26" w14:textId="77777777" w:rsidR="001525D5" w:rsidRPr="001525D5" w:rsidRDefault="001525D5" w:rsidP="001525D5">
      <w:pPr>
        <w:ind w:right="-141"/>
        <w:jc w:val="both"/>
      </w:pPr>
      <w:r w:rsidRPr="001525D5">
        <w:t>Ces actions validées font l’objet d’un avenant à la présente convention, précisant le contenu de chaque action, son objectif, les moyens dédiés, et les obligations des parties relatives à cette action, la période dédiée.</w:t>
      </w:r>
    </w:p>
    <w:p w14:paraId="5AA86281" w14:textId="77777777" w:rsidR="001525D5" w:rsidRPr="001525D5" w:rsidRDefault="001525D5" w:rsidP="001525D5">
      <w:pPr>
        <w:ind w:right="-141"/>
        <w:jc w:val="both"/>
      </w:pPr>
    </w:p>
    <w:p w14:paraId="08D7D691" w14:textId="77777777" w:rsidR="001525D5" w:rsidRPr="001525D5" w:rsidRDefault="001525D5" w:rsidP="001525D5">
      <w:pPr>
        <w:ind w:right="-141"/>
        <w:jc w:val="both"/>
      </w:pPr>
      <w:r w:rsidRPr="001525D5">
        <w:t>L’employeur finance l’intégralité des actions décidées conjointement, mises en œuvre dans le cadre de la PPR.</w:t>
      </w:r>
    </w:p>
    <w:p w14:paraId="5B4F3B23" w14:textId="77777777" w:rsidR="001525D5" w:rsidRPr="001525D5" w:rsidRDefault="001525D5" w:rsidP="001525D5">
      <w:pPr>
        <w:ind w:right="-141"/>
        <w:jc w:val="both"/>
      </w:pPr>
    </w:p>
    <w:p w14:paraId="099C8BFA" w14:textId="77777777" w:rsidR="001525D5" w:rsidRPr="001525D5" w:rsidRDefault="001525D5" w:rsidP="001525D5">
      <w:pPr>
        <w:ind w:right="-141"/>
        <w:jc w:val="both"/>
      </w:pPr>
      <w:r w:rsidRPr="001525D5">
        <w:t>Cet avenant tripartite est signé par l’autorité territoriale, l’agent et le CDG. Une copie est transmise pour information au médecin de prévention.</w:t>
      </w:r>
    </w:p>
    <w:p w14:paraId="55B2BCA0" w14:textId="77777777" w:rsidR="001525D5" w:rsidRPr="001525D5" w:rsidRDefault="001525D5" w:rsidP="001525D5">
      <w:pPr>
        <w:keepNext/>
        <w:keepLines/>
        <w:spacing w:before="240" w:after="240"/>
        <w:ind w:left="720" w:hanging="360"/>
        <w:jc w:val="both"/>
        <w:outlineLvl w:val="2"/>
        <w:rPr>
          <w:rFonts w:eastAsiaTheme="majorEastAsia" w:cstheme="majorBidi"/>
          <w:b/>
          <w:bCs/>
        </w:rPr>
      </w:pPr>
      <w:r w:rsidRPr="001525D5">
        <w:rPr>
          <w:rFonts w:eastAsiaTheme="majorEastAsia" w:cstheme="majorBidi"/>
          <w:b/>
          <w:bCs/>
        </w:rPr>
        <w:t>Situation administrative de l’agent pendant la PPR</w:t>
      </w:r>
    </w:p>
    <w:p w14:paraId="44FB38EA" w14:textId="77777777" w:rsidR="001525D5" w:rsidRPr="001525D5" w:rsidRDefault="001525D5" w:rsidP="001525D5">
      <w:pPr>
        <w:ind w:right="-141"/>
        <w:jc w:val="both"/>
      </w:pPr>
      <w:r w:rsidRPr="001525D5">
        <w:t>Tout au long de la PPR, l’agent est en position d’activité auprès de sa collectivité ou de son établissement d’origine. Il bénéfice de son droit à déroulement de carrière, dont l’avancement d’échelon.</w:t>
      </w:r>
    </w:p>
    <w:p w14:paraId="74C34D55" w14:textId="77777777" w:rsidR="001525D5" w:rsidRPr="001525D5" w:rsidRDefault="001525D5" w:rsidP="001525D5">
      <w:pPr>
        <w:ind w:right="-141"/>
        <w:jc w:val="both"/>
      </w:pPr>
    </w:p>
    <w:p w14:paraId="037ABE67" w14:textId="77777777" w:rsidR="001525D5" w:rsidRPr="001525D5" w:rsidRDefault="001525D5" w:rsidP="001525D5">
      <w:pPr>
        <w:ind w:right="-141"/>
        <w:jc w:val="both"/>
      </w:pPr>
      <w:r w:rsidRPr="001525D5">
        <w:t>L’agent perçoit son plein traitement correspondant à son grade et à sa quotité de temps de travail, ainsi que le supplément familial de traitement, l’indemnité de résidence, le complément de traitement indiciaire (le cas échéant, sous conditions), versés par son employeur.</w:t>
      </w:r>
    </w:p>
    <w:p w14:paraId="16E72719" w14:textId="77777777" w:rsidR="001525D5" w:rsidRPr="001525D5" w:rsidRDefault="001525D5" w:rsidP="001525D5">
      <w:pPr>
        <w:ind w:right="-141"/>
        <w:jc w:val="both"/>
      </w:pPr>
      <w:r w:rsidRPr="001525D5">
        <w:t xml:space="preserve">Au cours de cette période, l’intégralité du régime indemnitaire de l’agent sera </w:t>
      </w:r>
      <w:r w:rsidRPr="001525D5">
        <w:rPr>
          <w:highlight w:val="yellow"/>
        </w:rPr>
        <w:t>également maintenue / le régime indemnitaire de l’agent sera suspendu / le régime indemnitaire de l’agent sera modulé de la manière suivante / …</w:t>
      </w:r>
    </w:p>
    <w:p w14:paraId="3CD3ADF8" w14:textId="77777777" w:rsidR="001525D5" w:rsidRPr="001525D5" w:rsidRDefault="001525D5" w:rsidP="001525D5">
      <w:pPr>
        <w:ind w:right="-141"/>
        <w:jc w:val="both"/>
      </w:pPr>
      <w:r w:rsidRPr="001525D5">
        <w:rPr>
          <w:rFonts w:cs="Arial"/>
          <w:b/>
          <w:bCs/>
          <w:i/>
          <w:szCs w:val="20"/>
        </w:rPr>
        <w:t>(</w:t>
      </w:r>
      <w:proofErr w:type="gramStart"/>
      <w:r w:rsidRPr="001525D5">
        <w:rPr>
          <w:rFonts w:cs="Arial"/>
          <w:b/>
          <w:bCs/>
          <w:i/>
          <w:szCs w:val="20"/>
          <w:highlight w:val="yellow"/>
        </w:rPr>
        <w:t>à</w:t>
      </w:r>
      <w:proofErr w:type="gramEnd"/>
      <w:r w:rsidRPr="001525D5">
        <w:rPr>
          <w:rFonts w:cs="Arial"/>
          <w:b/>
          <w:bCs/>
          <w:i/>
          <w:szCs w:val="20"/>
          <w:highlight w:val="yellow"/>
        </w:rPr>
        <w:t xml:space="preserve"> compléter</w:t>
      </w:r>
      <w:r w:rsidRPr="001525D5">
        <w:rPr>
          <w:rFonts w:cs="Arial"/>
          <w:b/>
          <w:bCs/>
          <w:i/>
          <w:szCs w:val="20"/>
        </w:rPr>
        <w:t>,</w:t>
      </w:r>
      <w:r w:rsidRPr="001525D5">
        <w:t xml:space="preserve"> </w:t>
      </w:r>
      <w:r w:rsidRPr="001525D5">
        <w:rPr>
          <w:rFonts w:cs="Arial"/>
          <w:b/>
          <w:bCs/>
          <w:i/>
          <w:szCs w:val="20"/>
          <w:highlight w:val="yellow"/>
        </w:rPr>
        <w:t>A adapter selon les dispositions en vigueur au sein de la collectivité – se référer à la délibération relative au régime indemnitaire ou délibérer en ce sens</w:t>
      </w:r>
      <w:r w:rsidRPr="001525D5">
        <w:rPr>
          <w:rFonts w:cs="Arial"/>
          <w:b/>
          <w:bCs/>
          <w:i/>
          <w:szCs w:val="20"/>
        </w:rPr>
        <w:t> : )</w:t>
      </w:r>
      <w:r w:rsidRPr="001525D5">
        <w:t xml:space="preserve">  </w:t>
      </w:r>
    </w:p>
    <w:p w14:paraId="1FC5CC4D" w14:textId="77777777" w:rsidR="001525D5" w:rsidRPr="001525D5" w:rsidRDefault="001525D5" w:rsidP="001525D5">
      <w:pPr>
        <w:ind w:right="-141"/>
        <w:jc w:val="both"/>
      </w:pPr>
    </w:p>
    <w:p w14:paraId="023B6B36" w14:textId="77777777" w:rsidR="001525D5" w:rsidRPr="001525D5" w:rsidRDefault="001525D5" w:rsidP="001525D5">
      <w:pPr>
        <w:ind w:right="-141"/>
        <w:jc w:val="both"/>
      </w:pPr>
      <w:r w:rsidRPr="001525D5">
        <w:t>Les jours de congés annuels doivent être posés en cours de PPR. L’agent formule sa demande préalable de congé auprès de son employeur, pour validation.</w:t>
      </w:r>
    </w:p>
    <w:p w14:paraId="3C8CA3CD" w14:textId="77777777" w:rsidR="001525D5" w:rsidRPr="001525D5" w:rsidRDefault="001525D5" w:rsidP="001525D5">
      <w:pPr>
        <w:ind w:right="-141"/>
        <w:jc w:val="both"/>
      </w:pPr>
    </w:p>
    <w:p w14:paraId="7A74B741" w14:textId="77777777" w:rsidR="001525D5" w:rsidRPr="001525D5" w:rsidRDefault="001525D5" w:rsidP="001525D5">
      <w:pPr>
        <w:ind w:right="-141"/>
        <w:jc w:val="both"/>
      </w:pPr>
      <w:r w:rsidRPr="001525D5">
        <w:t xml:space="preserve">Les droits à congés annuels non pris seront perdus, sans possibilité de report. </w:t>
      </w:r>
    </w:p>
    <w:p w14:paraId="6AA729E7" w14:textId="77777777" w:rsidR="001525D5" w:rsidRPr="001525D5" w:rsidRDefault="001525D5" w:rsidP="001525D5">
      <w:pPr>
        <w:ind w:right="-141"/>
        <w:jc w:val="both"/>
      </w:pPr>
      <w:r w:rsidRPr="001525D5">
        <w:t>Aucune action de PPR ne pourra être effectuée sur une période de congés annuels.</w:t>
      </w:r>
    </w:p>
    <w:p w14:paraId="29FF7556" w14:textId="77777777" w:rsidR="001525D5" w:rsidRPr="001525D5" w:rsidRDefault="001525D5" w:rsidP="001525D5">
      <w:pPr>
        <w:ind w:right="-141"/>
        <w:jc w:val="both"/>
      </w:pPr>
    </w:p>
    <w:p w14:paraId="484525BB" w14:textId="77777777" w:rsidR="001525D5" w:rsidRPr="001525D5" w:rsidRDefault="001525D5" w:rsidP="001525D5">
      <w:pPr>
        <w:ind w:right="-141"/>
      </w:pPr>
      <w:r w:rsidRPr="001525D5">
        <w:t>(</w:t>
      </w:r>
      <w:r w:rsidRPr="001525D5">
        <w:rPr>
          <w:rFonts w:cs="Arial"/>
          <w:b/>
          <w:bCs/>
          <w:i/>
          <w:szCs w:val="20"/>
          <w:highlight w:val="yellow"/>
        </w:rPr>
        <w:t>À compléter</w:t>
      </w:r>
      <w:r w:rsidRPr="001525D5">
        <w:rPr>
          <w:rFonts w:cs="Arial"/>
          <w:b/>
          <w:bCs/>
          <w:i/>
          <w:szCs w:val="20"/>
        </w:rPr>
        <w:t xml:space="preserve"> </w:t>
      </w:r>
      <w:r w:rsidRPr="001525D5">
        <w:rPr>
          <w:rFonts w:cs="Arial"/>
          <w:b/>
          <w:bCs/>
          <w:i/>
          <w:szCs w:val="20"/>
          <w:highlight w:val="yellow"/>
        </w:rPr>
        <w:t>par la procédure interne en vigueur / facultatif</w:t>
      </w:r>
      <w:r w:rsidRPr="001525D5">
        <w:rPr>
          <w:rFonts w:cs="Arial"/>
          <w:b/>
          <w:bCs/>
          <w:i/>
          <w:szCs w:val="20"/>
        </w:rPr>
        <w:t>)</w:t>
      </w:r>
      <w:r w:rsidRPr="001525D5">
        <w:t xml:space="preserve"> Il est précisé que les modalités suivantes sont mises en œuvre : …………………………………………………………………………………………………………………………………</w:t>
      </w:r>
    </w:p>
    <w:p w14:paraId="1FC54755" w14:textId="77777777" w:rsidR="001525D5" w:rsidRPr="001525D5" w:rsidRDefault="001525D5" w:rsidP="001525D5">
      <w:pPr>
        <w:ind w:right="-141"/>
        <w:jc w:val="both"/>
      </w:pPr>
    </w:p>
    <w:p w14:paraId="6E4E5DE5" w14:textId="77777777" w:rsidR="001525D5" w:rsidRPr="001525D5" w:rsidRDefault="001525D5" w:rsidP="001525D5">
      <w:pPr>
        <w:ind w:right="-141"/>
        <w:jc w:val="both"/>
      </w:pPr>
      <w:r w:rsidRPr="001525D5">
        <w:lastRenderedPageBreak/>
        <w:t>Lorsque l’agent exerce plusieurs emplois à temps non complet (temps partagé) relevant du même grade, l’employeur transmet la présente convention aux autres employeurs territoriaux de l’agent.</w:t>
      </w:r>
    </w:p>
    <w:p w14:paraId="4F75081C" w14:textId="77777777" w:rsidR="001525D5" w:rsidRPr="001525D5" w:rsidRDefault="001525D5" w:rsidP="001525D5">
      <w:pPr>
        <w:keepNext/>
        <w:keepLines/>
        <w:spacing w:before="240" w:after="240"/>
        <w:ind w:left="720" w:hanging="360"/>
        <w:jc w:val="both"/>
        <w:outlineLvl w:val="2"/>
        <w:rPr>
          <w:rFonts w:eastAsiaTheme="majorEastAsia" w:cstheme="majorBidi"/>
          <w:b/>
          <w:bCs/>
        </w:rPr>
      </w:pPr>
      <w:r w:rsidRPr="001525D5">
        <w:rPr>
          <w:rFonts w:eastAsiaTheme="majorEastAsia" w:cstheme="majorBidi"/>
          <w:b/>
          <w:bCs/>
        </w:rPr>
        <w:t>Obligations de l’agent</w:t>
      </w:r>
    </w:p>
    <w:p w14:paraId="57C505FE" w14:textId="77777777" w:rsidR="001525D5" w:rsidRPr="001525D5" w:rsidRDefault="001525D5" w:rsidP="001525D5">
      <w:pPr>
        <w:ind w:right="-141"/>
        <w:jc w:val="both"/>
      </w:pPr>
      <w:r w:rsidRPr="001525D5">
        <w:t>L’agent s’engage à s’impliquer dans le processus de préparation au reclassement afin de multiplier ses chances de reclassement.</w:t>
      </w:r>
    </w:p>
    <w:p w14:paraId="3C83C9B9" w14:textId="77777777" w:rsidR="001525D5" w:rsidRPr="001525D5" w:rsidRDefault="001525D5" w:rsidP="001525D5">
      <w:pPr>
        <w:ind w:right="-141"/>
        <w:jc w:val="both"/>
      </w:pPr>
      <w:r w:rsidRPr="001525D5">
        <w:t>Ainsi, il s’engage à participer à l’ensemble des actions de préparation au reclassement compatibles avec son état de santé. Il s’engage également à dédier son temps d’activité à la réalisation de toutes démarches personnelles de retour à l’emploi, qui participeront à favoriser et concrétiser son reclassement.</w:t>
      </w:r>
    </w:p>
    <w:p w14:paraId="26DE9FFE" w14:textId="77777777" w:rsidR="001525D5" w:rsidRPr="001525D5" w:rsidRDefault="001525D5" w:rsidP="001525D5">
      <w:pPr>
        <w:ind w:right="-141"/>
        <w:jc w:val="both"/>
      </w:pPr>
    </w:p>
    <w:p w14:paraId="45AC8853" w14:textId="69B90FE0" w:rsidR="001525D5" w:rsidRPr="001525D5" w:rsidRDefault="001525D5" w:rsidP="001525D5">
      <w:pPr>
        <w:ind w:right="-141"/>
        <w:jc w:val="both"/>
      </w:pPr>
      <w:r w:rsidRPr="001525D5">
        <w:t xml:space="preserve">La présente convention doit être signée sous 15 jours par </w:t>
      </w:r>
      <w:r w:rsidR="00295A51" w:rsidRPr="001525D5">
        <w:t>l’agent,</w:t>
      </w:r>
      <w:r w:rsidR="00295A51" w:rsidRPr="001525D5">
        <w:rPr>
          <w:b/>
        </w:rPr>
        <w:t xml:space="preserve"> </w:t>
      </w:r>
      <w:r w:rsidR="00295A51" w:rsidRPr="001525D5">
        <w:t>à</w:t>
      </w:r>
      <w:r w:rsidRPr="001525D5">
        <w:t xml:space="preserve"> compter de sa notification. A défaut l’agent est réputé renoncer à la PPR.</w:t>
      </w:r>
    </w:p>
    <w:p w14:paraId="06F6A2B6" w14:textId="77777777" w:rsidR="001525D5" w:rsidRPr="001525D5" w:rsidRDefault="001525D5" w:rsidP="001525D5">
      <w:pPr>
        <w:ind w:right="-141"/>
        <w:jc w:val="both"/>
      </w:pPr>
      <w:r w:rsidRPr="001525D5">
        <w:t>La convention signée doit être retournée à l’employeur qui en transmet un exemplaire au CDG (</w:t>
      </w:r>
      <w:hyperlink r:id="rId7" w:history="1">
        <w:r w:rsidRPr="001525D5">
          <w:rPr>
            <w:color w:val="000000" w:themeColor="text1"/>
            <w:u w:val="single"/>
          </w:rPr>
          <w:t>evolutionpro@cdg56.fr</w:t>
        </w:r>
      </w:hyperlink>
      <w:r w:rsidRPr="001525D5">
        <w:t>) et au secrétariat du conseil médical (</w:t>
      </w:r>
      <w:hyperlink r:id="rId8" w:history="1">
        <w:r w:rsidRPr="001525D5">
          <w:rPr>
            <w:color w:val="000000" w:themeColor="text1"/>
            <w:u w:val="single"/>
          </w:rPr>
          <w:t>instancesmedicales@cdg56.fr</w:t>
        </w:r>
      </w:hyperlink>
      <w:r w:rsidRPr="001525D5">
        <w:t>).</w:t>
      </w:r>
    </w:p>
    <w:p w14:paraId="3ECCC954" w14:textId="77777777" w:rsidR="001525D5" w:rsidRPr="001525D5" w:rsidRDefault="001525D5" w:rsidP="001525D5">
      <w:pPr>
        <w:ind w:right="-141"/>
        <w:jc w:val="both"/>
      </w:pPr>
    </w:p>
    <w:p w14:paraId="5154719C" w14:textId="77777777" w:rsidR="001525D5" w:rsidRPr="001525D5" w:rsidRDefault="001525D5" w:rsidP="001525D5">
      <w:pPr>
        <w:ind w:right="-141"/>
        <w:jc w:val="both"/>
      </w:pPr>
    </w:p>
    <w:p w14:paraId="2F973C33" w14:textId="77777777" w:rsidR="001525D5" w:rsidRPr="001525D5" w:rsidRDefault="001525D5" w:rsidP="001525D5">
      <w:pPr>
        <w:ind w:right="-141"/>
        <w:jc w:val="both"/>
      </w:pPr>
      <w:r w:rsidRPr="001525D5">
        <w:t xml:space="preserve">L’agent peut être amené à effectuer des déplacements pour pouvoir suivre et bénéficier des actions proposées </w:t>
      </w:r>
      <w:proofErr w:type="gramStart"/>
      <w:r w:rsidRPr="001525D5">
        <w:t>à  l’article</w:t>
      </w:r>
      <w:proofErr w:type="gramEnd"/>
      <w:r w:rsidRPr="001525D5">
        <w:t xml:space="preserve"> 3 de la présente convention.</w:t>
      </w:r>
    </w:p>
    <w:p w14:paraId="57ED31CA" w14:textId="77777777" w:rsidR="001525D5" w:rsidRPr="001525D5" w:rsidRDefault="001525D5" w:rsidP="001525D5">
      <w:pPr>
        <w:ind w:right="-141"/>
        <w:jc w:val="both"/>
      </w:pPr>
    </w:p>
    <w:p w14:paraId="419BF43D" w14:textId="77777777" w:rsidR="001525D5" w:rsidRPr="001525D5" w:rsidRDefault="001525D5" w:rsidP="001525D5">
      <w:pPr>
        <w:ind w:right="-141"/>
        <w:jc w:val="both"/>
      </w:pPr>
      <w:r w:rsidRPr="001525D5">
        <w:t>Lorsque l’agent se trouve dans l’impossibilité de participer à une action de PPR, pour des raisons de santé, il doit impérativement fournir, à son employeur, un certificat médical d’arrêt de maladie dans les 48 heures.</w:t>
      </w:r>
    </w:p>
    <w:p w14:paraId="16F5AA8B" w14:textId="77777777" w:rsidR="001525D5" w:rsidRPr="001525D5" w:rsidRDefault="001525D5" w:rsidP="001525D5">
      <w:pPr>
        <w:ind w:right="-141"/>
        <w:jc w:val="both"/>
      </w:pPr>
    </w:p>
    <w:p w14:paraId="699C5CED" w14:textId="77777777" w:rsidR="001525D5" w:rsidRPr="001525D5" w:rsidRDefault="001525D5" w:rsidP="001525D5">
      <w:pPr>
        <w:ind w:right="-141"/>
        <w:jc w:val="both"/>
      </w:pPr>
      <w:r w:rsidRPr="001525D5">
        <w:t xml:space="preserve">Au cours de la PPR, l’agent reste soumis à l’ensemble de ses obligations professionnelles et déontologiques incombant à tout fonctionnaire en position d’activité. A défaut, l’autorité territoriale pourra engager une procédure disciplinaire à son encontre.  </w:t>
      </w:r>
    </w:p>
    <w:p w14:paraId="2EA5E669" w14:textId="77777777" w:rsidR="001525D5" w:rsidRPr="001525D5" w:rsidRDefault="001525D5" w:rsidP="001525D5">
      <w:pPr>
        <w:ind w:right="-141"/>
        <w:jc w:val="both"/>
      </w:pPr>
    </w:p>
    <w:p w14:paraId="2D851CB8" w14:textId="77777777" w:rsidR="001525D5" w:rsidRPr="001525D5" w:rsidRDefault="001525D5" w:rsidP="001525D5">
      <w:pPr>
        <w:ind w:right="-141"/>
        <w:jc w:val="both"/>
      </w:pPr>
      <w:r w:rsidRPr="001525D5">
        <w:t>A l’issue de la présente PPR, l’agent sera tenu de faire part, par écrit, de manière claire et non équivoque, de son souhait ou de son refus de bénéficier d’un reclassement.</w:t>
      </w:r>
    </w:p>
    <w:p w14:paraId="66AB78C3" w14:textId="77777777" w:rsidR="001525D5" w:rsidRPr="001525D5" w:rsidRDefault="001525D5" w:rsidP="001525D5">
      <w:pPr>
        <w:ind w:right="-141"/>
        <w:jc w:val="both"/>
      </w:pPr>
    </w:p>
    <w:p w14:paraId="5B44BA56" w14:textId="77777777" w:rsidR="001525D5" w:rsidRPr="001525D5" w:rsidRDefault="001525D5" w:rsidP="001525D5">
      <w:pPr>
        <w:keepNext/>
        <w:keepLines/>
        <w:spacing w:before="240" w:after="240"/>
        <w:ind w:left="720" w:hanging="360"/>
        <w:jc w:val="both"/>
        <w:outlineLvl w:val="2"/>
        <w:rPr>
          <w:rFonts w:eastAsiaTheme="majorEastAsia" w:cstheme="majorBidi"/>
          <w:b/>
          <w:bCs/>
        </w:rPr>
      </w:pPr>
      <w:r w:rsidRPr="001525D5">
        <w:rPr>
          <w:rFonts w:eastAsiaTheme="majorEastAsia" w:cstheme="majorBidi"/>
          <w:b/>
          <w:bCs/>
        </w:rPr>
        <w:t xml:space="preserve">Suivi des actions proposées à l’agent </w:t>
      </w:r>
    </w:p>
    <w:p w14:paraId="76AD6BDA" w14:textId="77777777" w:rsidR="001525D5" w:rsidRPr="001525D5" w:rsidRDefault="001525D5" w:rsidP="001525D5">
      <w:pPr>
        <w:numPr>
          <w:ilvl w:val="0"/>
          <w:numId w:val="32"/>
        </w:numPr>
        <w:ind w:right="-141"/>
        <w:contextualSpacing/>
        <w:jc w:val="both"/>
      </w:pPr>
      <w:r w:rsidRPr="001525D5">
        <w:t>Le rôle de la collectivité / établissement employeur :</w:t>
      </w:r>
    </w:p>
    <w:p w14:paraId="4A93FB87" w14:textId="77777777" w:rsidR="001525D5" w:rsidRPr="001525D5" w:rsidRDefault="001525D5" w:rsidP="001525D5">
      <w:pPr>
        <w:ind w:right="-141"/>
        <w:jc w:val="both"/>
      </w:pPr>
      <w:r w:rsidRPr="001525D5">
        <w:t xml:space="preserve">La collectivité d’origine, en sa qualité d’autorité territoriale, assure le suivi et l’évaluation des actions proposées à l’agent. Les actions de préparation au reclassement font l’objet d’une évaluation régulière entre l’agent et l’employeur sous forme de rendez-vous tous les </w:t>
      </w:r>
      <w:r w:rsidRPr="001525D5">
        <w:rPr>
          <w:highlight w:val="yellow"/>
        </w:rPr>
        <w:t xml:space="preserve">…. </w:t>
      </w:r>
      <w:proofErr w:type="gramStart"/>
      <w:r w:rsidRPr="001525D5">
        <w:rPr>
          <w:highlight w:val="yellow"/>
        </w:rPr>
        <w:t>mois</w:t>
      </w:r>
      <w:proofErr w:type="gramEnd"/>
      <w:r w:rsidRPr="001525D5">
        <w:rPr>
          <w:highlight w:val="yellow"/>
        </w:rPr>
        <w:t>/ semaines</w:t>
      </w:r>
      <w:r w:rsidRPr="001525D5">
        <w:t xml:space="preserve"> (</w:t>
      </w:r>
      <w:r w:rsidRPr="001525D5">
        <w:rPr>
          <w:rFonts w:cs="Arial"/>
          <w:b/>
          <w:i/>
          <w:szCs w:val="20"/>
          <w:highlight w:val="yellow"/>
        </w:rPr>
        <w:t>à préciser</w:t>
      </w:r>
      <w:r w:rsidRPr="001525D5">
        <w:t>).</w:t>
      </w:r>
    </w:p>
    <w:p w14:paraId="2A253CB1" w14:textId="77777777" w:rsidR="001525D5" w:rsidRPr="001525D5" w:rsidRDefault="001525D5" w:rsidP="001525D5">
      <w:pPr>
        <w:ind w:right="-141"/>
        <w:jc w:val="both"/>
      </w:pPr>
      <w:r w:rsidRPr="001525D5">
        <w:t>Les comptes rendus de ces entretiens d’évaluation sont transmis au CDG (evolutionpro@cdg56.fr).</w:t>
      </w:r>
    </w:p>
    <w:p w14:paraId="71961330" w14:textId="77777777" w:rsidR="001525D5" w:rsidRPr="001525D5" w:rsidRDefault="001525D5" w:rsidP="001525D5">
      <w:pPr>
        <w:ind w:right="-141"/>
        <w:jc w:val="both"/>
      </w:pPr>
      <w:r w:rsidRPr="001525D5">
        <w:t>A l’occasion de ces évaluations, le contenu et les modalités de mise en œuvre de la PPR pourront être modifiées, avec l’accord de l’agent.</w:t>
      </w:r>
    </w:p>
    <w:p w14:paraId="256AFDD1" w14:textId="77777777" w:rsidR="001525D5" w:rsidRPr="001525D5" w:rsidRDefault="001525D5" w:rsidP="001525D5">
      <w:pPr>
        <w:ind w:right="-141"/>
        <w:jc w:val="both"/>
      </w:pPr>
    </w:p>
    <w:p w14:paraId="14980BA0" w14:textId="77777777" w:rsidR="001525D5" w:rsidRPr="001525D5" w:rsidRDefault="001525D5" w:rsidP="001525D5">
      <w:pPr>
        <w:numPr>
          <w:ilvl w:val="0"/>
          <w:numId w:val="32"/>
        </w:numPr>
        <w:ind w:right="-141"/>
        <w:contextualSpacing/>
        <w:jc w:val="both"/>
      </w:pPr>
      <w:r w:rsidRPr="001525D5">
        <w:t>Le rôle de l’agent :</w:t>
      </w:r>
    </w:p>
    <w:p w14:paraId="0D3F181B" w14:textId="77777777" w:rsidR="001525D5" w:rsidRPr="001525D5" w:rsidRDefault="001525D5" w:rsidP="001525D5">
      <w:pPr>
        <w:ind w:right="-141"/>
        <w:jc w:val="both"/>
      </w:pPr>
      <w:r w:rsidRPr="001525D5">
        <w:t>L’agent rend compte des actions menées, des démarches individuelles complémentaires entreprises et à venir.</w:t>
      </w:r>
    </w:p>
    <w:p w14:paraId="488C8AB1" w14:textId="77777777" w:rsidR="001525D5" w:rsidRPr="001525D5" w:rsidRDefault="001525D5" w:rsidP="001525D5">
      <w:pPr>
        <w:ind w:right="-141"/>
        <w:jc w:val="both"/>
      </w:pPr>
    </w:p>
    <w:p w14:paraId="52B17BB2" w14:textId="77777777" w:rsidR="001525D5" w:rsidRPr="001525D5" w:rsidRDefault="001525D5" w:rsidP="001525D5">
      <w:pPr>
        <w:numPr>
          <w:ilvl w:val="0"/>
          <w:numId w:val="32"/>
        </w:numPr>
        <w:ind w:right="-141"/>
        <w:contextualSpacing/>
        <w:jc w:val="both"/>
      </w:pPr>
      <w:r w:rsidRPr="001525D5">
        <w:t>Le rôle du CDG :</w:t>
      </w:r>
    </w:p>
    <w:p w14:paraId="7DE33BDE" w14:textId="77777777" w:rsidR="001525D5" w:rsidRPr="001525D5" w:rsidRDefault="001525D5" w:rsidP="001525D5">
      <w:pPr>
        <w:ind w:right="-141"/>
        <w:jc w:val="both"/>
      </w:pPr>
      <w:r w:rsidRPr="001525D5">
        <w:t>Le CDG participe aux 3 RDV tripartites suivants :</w:t>
      </w:r>
    </w:p>
    <w:p w14:paraId="7959F4F0" w14:textId="77777777" w:rsidR="001525D5" w:rsidRPr="001525D5" w:rsidRDefault="001525D5" w:rsidP="001525D5">
      <w:pPr>
        <w:numPr>
          <w:ilvl w:val="0"/>
          <w:numId w:val="31"/>
        </w:numPr>
        <w:ind w:right="-141"/>
        <w:contextualSpacing/>
        <w:jc w:val="both"/>
      </w:pPr>
      <w:r w:rsidRPr="001525D5">
        <w:t>Rendez-vous de lancement de PPR</w:t>
      </w:r>
    </w:p>
    <w:p w14:paraId="0B16903B" w14:textId="77777777" w:rsidR="001525D5" w:rsidRPr="001525D5" w:rsidRDefault="001525D5" w:rsidP="001525D5">
      <w:pPr>
        <w:numPr>
          <w:ilvl w:val="0"/>
          <w:numId w:val="31"/>
        </w:numPr>
        <w:ind w:right="-141"/>
        <w:contextualSpacing/>
        <w:jc w:val="both"/>
      </w:pPr>
      <w:r w:rsidRPr="001525D5">
        <w:t>Rendez-vous de suivi intermédiaire de PPR (à mi-période)</w:t>
      </w:r>
    </w:p>
    <w:p w14:paraId="7BA7D06B" w14:textId="77777777" w:rsidR="001525D5" w:rsidRPr="001525D5" w:rsidRDefault="001525D5" w:rsidP="001525D5">
      <w:pPr>
        <w:numPr>
          <w:ilvl w:val="0"/>
          <w:numId w:val="31"/>
        </w:numPr>
        <w:ind w:right="-141"/>
        <w:contextualSpacing/>
        <w:jc w:val="both"/>
      </w:pPr>
      <w:r w:rsidRPr="001525D5">
        <w:t>RDV de bilan</w:t>
      </w:r>
    </w:p>
    <w:p w14:paraId="6FF3806B" w14:textId="77777777" w:rsidR="001525D5" w:rsidRPr="001525D5" w:rsidRDefault="001525D5" w:rsidP="001525D5">
      <w:pPr>
        <w:ind w:right="-141"/>
        <w:jc w:val="both"/>
      </w:pPr>
    </w:p>
    <w:p w14:paraId="6B928A45" w14:textId="77777777" w:rsidR="001525D5" w:rsidRPr="001525D5" w:rsidRDefault="001525D5" w:rsidP="001525D5">
      <w:pPr>
        <w:ind w:right="-141"/>
        <w:jc w:val="both"/>
      </w:pPr>
      <w:r w:rsidRPr="001525D5">
        <w:t>Les fiches pratiques « employeur » et « agent » relatives au dispositif de la PPR, sont annexées à la présente convention.</w:t>
      </w:r>
    </w:p>
    <w:p w14:paraId="6FCF6D94" w14:textId="77777777" w:rsidR="001525D5" w:rsidRPr="001525D5" w:rsidRDefault="001525D5" w:rsidP="001525D5">
      <w:pPr>
        <w:keepNext/>
        <w:keepLines/>
        <w:spacing w:before="240" w:after="240"/>
        <w:ind w:left="720" w:hanging="360"/>
        <w:jc w:val="both"/>
        <w:outlineLvl w:val="2"/>
        <w:rPr>
          <w:rFonts w:eastAsiaTheme="majorEastAsia" w:cstheme="majorBidi"/>
          <w:b/>
          <w:bCs/>
        </w:rPr>
      </w:pPr>
      <w:r w:rsidRPr="001525D5">
        <w:rPr>
          <w:rFonts w:eastAsiaTheme="majorEastAsia" w:cstheme="majorBidi"/>
          <w:b/>
          <w:bCs/>
        </w:rPr>
        <w:t>Protection des données personnelles</w:t>
      </w:r>
    </w:p>
    <w:p w14:paraId="03ABB1FE" w14:textId="77777777" w:rsidR="001525D5" w:rsidRPr="001525D5" w:rsidRDefault="001525D5" w:rsidP="001525D5">
      <w:pPr>
        <w:spacing w:line="240" w:lineRule="auto"/>
        <w:jc w:val="both"/>
        <w:rPr>
          <w:rFonts w:eastAsia="Times New Roman" w:cs="Arial"/>
          <w:szCs w:val="20"/>
        </w:rPr>
      </w:pPr>
      <w:r w:rsidRPr="001525D5">
        <w:rPr>
          <w:rFonts w:eastAsia="Times New Roman" w:cs="Arial"/>
          <w:szCs w:val="20"/>
        </w:rPr>
        <w:t xml:space="preserve">Les parties s’engagent à traiter les données personnelles de l’agent recueillies dans le cadre de la présente convention conformément aux obligations issues </w:t>
      </w:r>
      <w:r w:rsidRPr="001525D5">
        <w:rPr>
          <w:rFonts w:ascii="Times New Roman" w:eastAsia="Times New Roman" w:hAnsi="Times New Roman" w:cs="Times New Roman"/>
          <w:szCs w:val="20"/>
        </w:rPr>
        <w:t xml:space="preserve">de </w:t>
      </w:r>
      <w:r w:rsidRPr="001525D5">
        <w:rPr>
          <w:rFonts w:eastAsia="Times New Roman" w:cs="Arial"/>
          <w:szCs w:val="20"/>
        </w:rPr>
        <w:t xml:space="preserve">la réglementation en vigueur applicable au traitement de données à caractère personnel et, en particulier, le règlement européen sur la protection des données (RGPD). </w:t>
      </w:r>
    </w:p>
    <w:p w14:paraId="6CD80E0D" w14:textId="77777777" w:rsidR="001525D5" w:rsidRPr="001525D5" w:rsidRDefault="001525D5" w:rsidP="001525D5">
      <w:pPr>
        <w:keepNext/>
        <w:keepLines/>
        <w:spacing w:before="240" w:after="240"/>
        <w:ind w:left="720" w:hanging="360"/>
        <w:jc w:val="both"/>
        <w:outlineLvl w:val="2"/>
        <w:rPr>
          <w:rFonts w:eastAsiaTheme="majorEastAsia" w:cstheme="majorBidi"/>
          <w:b/>
          <w:bCs/>
        </w:rPr>
      </w:pPr>
      <w:r w:rsidRPr="001525D5">
        <w:rPr>
          <w:rFonts w:eastAsiaTheme="majorEastAsia" w:cstheme="majorBidi"/>
          <w:b/>
          <w:bCs/>
        </w:rPr>
        <w:t>Litiges</w:t>
      </w:r>
    </w:p>
    <w:p w14:paraId="379FEC14" w14:textId="77777777" w:rsidR="001525D5" w:rsidRPr="001525D5" w:rsidRDefault="001525D5" w:rsidP="001525D5">
      <w:pPr>
        <w:ind w:right="-141"/>
        <w:jc w:val="both"/>
      </w:pPr>
      <w:r w:rsidRPr="001525D5">
        <w:t>Toute contestation née de l'interprétation ou de l'exécution de la présente convention donnera lieu à une tentative de règlement amiable entre les deux parties.</w:t>
      </w:r>
    </w:p>
    <w:p w14:paraId="0D308FB7" w14:textId="77777777" w:rsidR="001525D5" w:rsidRPr="001525D5" w:rsidRDefault="001525D5" w:rsidP="001525D5">
      <w:pPr>
        <w:spacing w:line="240" w:lineRule="auto"/>
        <w:jc w:val="both"/>
      </w:pPr>
      <w:r w:rsidRPr="001525D5">
        <w:t>À défaut d'accord, le litige sera porté devant le tribunal administratif de RENNES situé 3, Contour de la Motte</w:t>
      </w:r>
      <w:r w:rsidRPr="001525D5">
        <w:br/>
        <w:t xml:space="preserve">CS44416, 35044 Rennes Cedex le cas échéant par le biais de l’application informatique Télérecours, accessible par le lien suivant : </w:t>
      </w:r>
      <w:hyperlink r:id="rId9" w:history="1">
        <w:r w:rsidRPr="001525D5">
          <w:t>http://www.telerecours.fr</w:t>
        </w:r>
      </w:hyperlink>
      <w:r w:rsidRPr="001525D5">
        <w:t> </w:t>
      </w:r>
    </w:p>
    <w:p w14:paraId="1B0607CB" w14:textId="77777777" w:rsidR="001525D5" w:rsidRPr="001525D5" w:rsidRDefault="001525D5" w:rsidP="001525D5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25D5">
        <w:rPr>
          <w:rFonts w:eastAsia="Times New Roman" w:cs="Arial"/>
          <w:szCs w:val="20"/>
        </w:rPr>
        <w:t> </w:t>
      </w:r>
    </w:p>
    <w:p w14:paraId="5165C5F2" w14:textId="77777777" w:rsidR="001525D5" w:rsidRPr="001525D5" w:rsidRDefault="001525D5" w:rsidP="001525D5">
      <w:pPr>
        <w:ind w:right="-141"/>
        <w:jc w:val="both"/>
      </w:pPr>
    </w:p>
    <w:p w14:paraId="4867AE87" w14:textId="77777777" w:rsidR="001525D5" w:rsidRPr="001525D5" w:rsidRDefault="001525D5" w:rsidP="001525D5">
      <w:pPr>
        <w:ind w:right="-141"/>
        <w:jc w:val="both"/>
      </w:pPr>
    </w:p>
    <w:p w14:paraId="4C9F542C" w14:textId="77777777" w:rsidR="001525D5" w:rsidRPr="001525D5" w:rsidRDefault="001525D5" w:rsidP="001525D5">
      <w:pPr>
        <w:ind w:right="-141"/>
        <w:jc w:val="both"/>
      </w:pPr>
      <w:r w:rsidRPr="001525D5">
        <w:t xml:space="preserve">Fait à VANNES, le </w:t>
      </w:r>
    </w:p>
    <w:p w14:paraId="176D01BD" w14:textId="77777777" w:rsidR="001525D5" w:rsidRPr="001525D5" w:rsidRDefault="001525D5" w:rsidP="001525D5">
      <w:pPr>
        <w:ind w:right="-141"/>
        <w:jc w:val="both"/>
      </w:pPr>
    </w:p>
    <w:p w14:paraId="4BE87CC3" w14:textId="77777777" w:rsidR="001525D5" w:rsidRPr="001525D5" w:rsidRDefault="001525D5" w:rsidP="001525D5">
      <w:pPr>
        <w:ind w:right="-141"/>
        <w:jc w:val="both"/>
      </w:pPr>
    </w:p>
    <w:p w14:paraId="31071B29" w14:textId="77777777" w:rsidR="001525D5" w:rsidRPr="001525D5" w:rsidRDefault="001525D5" w:rsidP="001525D5">
      <w:pPr>
        <w:ind w:right="-141"/>
        <w:jc w:val="both"/>
      </w:pPr>
    </w:p>
    <w:p w14:paraId="78A9B0F5" w14:textId="22E3C260" w:rsidR="001525D5" w:rsidRPr="001525D5" w:rsidRDefault="001525D5" w:rsidP="001525D5">
      <w:pPr>
        <w:ind w:right="-141"/>
        <w:jc w:val="both"/>
      </w:pPr>
      <w:r w:rsidRPr="001525D5">
        <w:t xml:space="preserve">En </w:t>
      </w:r>
      <w:r w:rsidR="00F34C9F" w:rsidRPr="001525D5">
        <w:t>trois exemplaires</w:t>
      </w:r>
    </w:p>
    <w:p w14:paraId="57612A46" w14:textId="77777777" w:rsidR="00F34C9F" w:rsidRDefault="00F34C9F" w:rsidP="001525D5">
      <w:pPr>
        <w:tabs>
          <w:tab w:val="left" w:pos="2694"/>
          <w:tab w:val="left" w:pos="6804"/>
        </w:tabs>
        <w:ind w:right="-141"/>
        <w:jc w:val="both"/>
      </w:pPr>
    </w:p>
    <w:p w14:paraId="20F6A8A2" w14:textId="318506C3" w:rsidR="001525D5" w:rsidRPr="001525D5" w:rsidRDefault="001525D5" w:rsidP="001525D5">
      <w:pPr>
        <w:tabs>
          <w:tab w:val="left" w:pos="2694"/>
          <w:tab w:val="left" w:pos="6804"/>
        </w:tabs>
        <w:ind w:right="-141"/>
        <w:jc w:val="both"/>
      </w:pPr>
      <w:r w:rsidRPr="001525D5">
        <w:t xml:space="preserve">L’agent, </w:t>
      </w:r>
      <w:r w:rsidRPr="001525D5">
        <w:tab/>
        <w:t>L</w:t>
      </w:r>
      <w:r w:rsidR="005F0BD2">
        <w:t>a</w:t>
      </w:r>
      <w:r w:rsidRPr="001525D5">
        <w:t xml:space="preserve"> Président</w:t>
      </w:r>
      <w:r w:rsidR="00091520">
        <w:t>e</w:t>
      </w:r>
      <w:r w:rsidRPr="001525D5">
        <w:t xml:space="preserve"> du CDG du Morbihan, </w:t>
      </w:r>
      <w:r w:rsidRPr="001525D5">
        <w:tab/>
      </w:r>
      <w:r w:rsidRPr="001525D5">
        <w:rPr>
          <w:highlight w:val="yellow"/>
        </w:rPr>
        <w:t>Le Maire/Président</w:t>
      </w:r>
      <w:r w:rsidRPr="001525D5">
        <w:t>,</w:t>
      </w:r>
      <w:r w:rsidRPr="001525D5">
        <w:tab/>
      </w:r>
    </w:p>
    <w:p w14:paraId="31B00B9F" w14:textId="77777777" w:rsidR="001525D5" w:rsidRPr="001525D5" w:rsidRDefault="001525D5" w:rsidP="001525D5">
      <w:pPr>
        <w:ind w:right="-141"/>
        <w:jc w:val="both"/>
      </w:pPr>
    </w:p>
    <w:p w14:paraId="49BA9227" w14:textId="77777777" w:rsidR="001525D5" w:rsidRPr="001525D5" w:rsidRDefault="001525D5" w:rsidP="001525D5">
      <w:pPr>
        <w:ind w:right="-141"/>
        <w:jc w:val="both"/>
      </w:pPr>
    </w:p>
    <w:p w14:paraId="1585AF46" w14:textId="77777777" w:rsidR="001525D5" w:rsidRPr="001525D5" w:rsidRDefault="001525D5" w:rsidP="001525D5">
      <w:pPr>
        <w:ind w:right="-141"/>
        <w:jc w:val="both"/>
      </w:pPr>
    </w:p>
    <w:p w14:paraId="44A1C062" w14:textId="77777777" w:rsidR="001525D5" w:rsidRPr="001525D5" w:rsidRDefault="001525D5" w:rsidP="001525D5">
      <w:pPr>
        <w:ind w:right="-141"/>
        <w:jc w:val="both"/>
      </w:pPr>
    </w:p>
    <w:p w14:paraId="0C5E5309" w14:textId="312314AF" w:rsidR="001525D5" w:rsidRPr="001525D5" w:rsidRDefault="001525D5" w:rsidP="001525D5">
      <w:r w:rsidRPr="001525D5">
        <w:t>Prénom-Nom</w:t>
      </w:r>
      <w:r w:rsidRPr="001525D5">
        <w:tab/>
        <w:t xml:space="preserve"> </w:t>
      </w:r>
      <w:r w:rsidR="00091520">
        <w:tab/>
      </w:r>
      <w:r w:rsidR="00091520">
        <w:tab/>
      </w:r>
      <w:r w:rsidR="00091520">
        <w:tab/>
        <w:t>Gaëlle STRICOT</w:t>
      </w:r>
    </w:p>
    <w:sectPr w:rsidR="001525D5" w:rsidRPr="001525D5" w:rsidSect="004D7792">
      <w:headerReference w:type="default" r:id="rId10"/>
      <w:footerReference w:type="default" r:id="rId11"/>
      <w:pgSz w:w="11900" w:h="16840"/>
      <w:pgMar w:top="2290" w:right="843" w:bottom="851" w:left="1134" w:header="426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62A4" w14:textId="77777777" w:rsidR="00F223E6" w:rsidRDefault="00F223E6" w:rsidP="004C7215">
      <w:pPr>
        <w:spacing w:line="240" w:lineRule="auto"/>
      </w:pPr>
      <w:r>
        <w:separator/>
      </w:r>
    </w:p>
  </w:endnote>
  <w:endnote w:type="continuationSeparator" w:id="0">
    <w:p w14:paraId="4FB24893" w14:textId="77777777" w:rsidR="00F223E6" w:rsidRDefault="00F223E6" w:rsidP="004C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0891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25C70B" w14:textId="77777777" w:rsidR="0096158F" w:rsidRPr="004D7792" w:rsidRDefault="004D7792" w:rsidP="004D7792">
            <w:pPr>
              <w:pStyle w:val="Pieddepage"/>
              <w:jc w:val="right"/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1" locked="0" layoutInCell="1" allowOverlap="1" wp14:anchorId="5CE0C9FB" wp14:editId="36B17C9F">
                  <wp:simplePos x="0" y="0"/>
                  <wp:positionH relativeFrom="page">
                    <wp:posOffset>-308610</wp:posOffset>
                  </wp:positionH>
                  <wp:positionV relativeFrom="paragraph">
                    <wp:posOffset>-266700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AB34A1">
              <w:t xml:space="preserve">|  </w:t>
            </w:r>
            <w:r>
              <w:t>Page</w:t>
            </w:r>
            <w:proofErr w:type="gramEnd"/>
            <w: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5568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5568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352C" w14:textId="77777777" w:rsidR="00F223E6" w:rsidRDefault="00F223E6" w:rsidP="004C7215">
      <w:pPr>
        <w:spacing w:line="240" w:lineRule="auto"/>
      </w:pPr>
      <w:r>
        <w:separator/>
      </w:r>
    </w:p>
  </w:footnote>
  <w:footnote w:type="continuationSeparator" w:id="0">
    <w:p w14:paraId="37B00CC3" w14:textId="77777777" w:rsidR="00F223E6" w:rsidRDefault="00F223E6" w:rsidP="004C7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261D" w14:textId="77777777" w:rsidR="004D7792" w:rsidRDefault="004D7792" w:rsidP="004D7792">
    <w:pPr>
      <w:pStyle w:val="Titre-ente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sz w:val="24"/>
        <w:szCs w:val="24"/>
      </w:rPr>
    </w:pPr>
    <w:r w:rsidRPr="009D3188">
      <w:rPr>
        <w:noProof/>
      </w:rPr>
      <w:drawing>
        <wp:anchor distT="0" distB="0" distL="114300" distR="114300" simplePos="0" relativeHeight="251659264" behindDoc="0" locked="0" layoutInCell="1" allowOverlap="1" wp14:anchorId="7CD76B67" wp14:editId="6F404B8C">
          <wp:simplePos x="0" y="0"/>
          <wp:positionH relativeFrom="margin">
            <wp:posOffset>0</wp:posOffset>
          </wp:positionH>
          <wp:positionV relativeFrom="paragraph">
            <wp:posOffset>-37465</wp:posOffset>
          </wp:positionV>
          <wp:extent cx="934543" cy="1147313"/>
          <wp:effectExtent l="0" t="0" r="0" b="0"/>
          <wp:wrapNone/>
          <wp:docPr id="6" name="Image 6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0BDCB5" w14:textId="77777777" w:rsidR="004D7792" w:rsidRDefault="004D7792" w:rsidP="004D7792">
    <w:pPr>
      <w:pStyle w:val="Titre-ente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sz w:val="24"/>
        <w:szCs w:val="24"/>
      </w:rPr>
    </w:pPr>
    <w:r w:rsidRPr="004D7792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9F20E4" wp14:editId="43BD7503">
              <wp:simplePos x="0" y="0"/>
              <wp:positionH relativeFrom="page">
                <wp:posOffset>2381250</wp:posOffset>
              </wp:positionH>
              <wp:positionV relativeFrom="paragraph">
                <wp:posOffset>138429</wp:posOffset>
              </wp:positionV>
              <wp:extent cx="5116830" cy="485775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06C2D1" w14:textId="77777777" w:rsidR="001525D5" w:rsidRPr="00F34C9F" w:rsidRDefault="001525D5" w:rsidP="001525D5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aps/>
                              <w:color w:val="FFFFFF"/>
                              <w:spacing w:val="40"/>
                              <w:sz w:val="28"/>
                              <w:szCs w:val="28"/>
                            </w:rPr>
                          </w:pPr>
                          <w:r w:rsidRPr="00F34C9F">
                            <w:rPr>
                              <w:rFonts w:cs="Arial"/>
                              <w:b/>
                              <w:caps/>
                              <w:color w:val="FFFFFF"/>
                              <w:spacing w:val="40"/>
                              <w:sz w:val="28"/>
                              <w:szCs w:val="28"/>
                            </w:rPr>
                            <w:t>Convention cadre PPR</w:t>
                          </w:r>
                        </w:p>
                        <w:p w14:paraId="686CAAB5" w14:textId="5F430838" w:rsidR="004D7792" w:rsidRPr="00F34C9F" w:rsidRDefault="00F34C9F" w:rsidP="001525D5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Cs/>
                              <w:i/>
                              <w:iCs/>
                              <w:color w:val="FFFFFF"/>
                              <w:szCs w:val="20"/>
                            </w:rPr>
                          </w:pPr>
                          <w:r w:rsidRPr="00F34C9F">
                            <w:rPr>
                              <w:rFonts w:cs="Arial"/>
                              <w:bCs/>
                              <w:i/>
                              <w:iCs/>
                              <w:color w:val="FFFFFF"/>
                              <w:szCs w:val="20"/>
                            </w:rPr>
                            <w:t>Mise à jour</w:t>
                          </w:r>
                          <w:r w:rsidR="00BA61FF">
                            <w:rPr>
                              <w:rFonts w:cs="Arial"/>
                              <w:bCs/>
                              <w:i/>
                              <w:iCs/>
                              <w:color w:val="FFFFFF"/>
                              <w:szCs w:val="20"/>
                            </w:rPr>
                            <w:t> : Janvier</w:t>
                          </w:r>
                          <w:r w:rsidRPr="00F34C9F">
                            <w:rPr>
                              <w:rFonts w:cs="Arial"/>
                              <w:bCs/>
                              <w:i/>
                              <w:iCs/>
                              <w:color w:val="FFFFFF"/>
                              <w:szCs w:val="20"/>
                            </w:rPr>
                            <w:t xml:space="preserve"> 2024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F20E4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187.5pt;margin-top:10.9pt;width:402.9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" filled="f" stroked="f" strokeweight=".5pt">
              <v:textbox>
                <w:txbxContent>
                  <w:p w14:paraId="5206C2D1" w14:textId="77777777" w:rsidR="001525D5" w:rsidRPr="00F34C9F" w:rsidRDefault="001525D5" w:rsidP="001525D5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aps/>
                        <w:color w:val="FFFFFF"/>
                        <w:spacing w:val="40"/>
                        <w:sz w:val="28"/>
                        <w:szCs w:val="28"/>
                      </w:rPr>
                    </w:pPr>
                    <w:r w:rsidRPr="00F34C9F">
                      <w:rPr>
                        <w:rFonts w:cs="Arial"/>
                        <w:b/>
                        <w:caps/>
                        <w:color w:val="FFFFFF"/>
                        <w:spacing w:val="40"/>
                        <w:sz w:val="28"/>
                        <w:szCs w:val="28"/>
                      </w:rPr>
                      <w:t>Convention cadre PPR</w:t>
                    </w:r>
                  </w:p>
                  <w:p w14:paraId="686CAAB5" w14:textId="5F430838" w:rsidR="004D7792" w:rsidRPr="00F34C9F" w:rsidRDefault="00F34C9F" w:rsidP="001525D5">
                    <w:pPr>
                      <w:spacing w:line="240" w:lineRule="auto"/>
                      <w:jc w:val="center"/>
                      <w:rPr>
                        <w:rFonts w:cs="Arial"/>
                        <w:bCs/>
                        <w:i/>
                        <w:iCs/>
                        <w:color w:val="FFFFFF"/>
                        <w:szCs w:val="20"/>
                      </w:rPr>
                    </w:pPr>
                    <w:r w:rsidRPr="00F34C9F">
                      <w:rPr>
                        <w:rFonts w:cs="Arial"/>
                        <w:bCs/>
                        <w:i/>
                        <w:iCs/>
                        <w:color w:val="FFFFFF"/>
                        <w:szCs w:val="20"/>
                      </w:rPr>
                      <w:t>Mise à jour</w:t>
                    </w:r>
                    <w:r w:rsidR="00BA61FF">
                      <w:rPr>
                        <w:rFonts w:cs="Arial"/>
                        <w:bCs/>
                        <w:i/>
                        <w:iCs/>
                        <w:color w:val="FFFFFF"/>
                        <w:szCs w:val="20"/>
                      </w:rPr>
                      <w:t> : Janvier</w:t>
                    </w:r>
                    <w:r w:rsidRPr="00F34C9F">
                      <w:rPr>
                        <w:rFonts w:cs="Arial"/>
                        <w:bCs/>
                        <w:i/>
                        <w:iCs/>
                        <w:color w:val="FFFFFF"/>
                        <w:szCs w:val="20"/>
                      </w:rPr>
                      <w:t xml:space="preserve"> 2024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4D7792">
      <w:rPr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563ED80B" wp14:editId="43F303AD">
          <wp:simplePos x="0" y="0"/>
          <wp:positionH relativeFrom="column">
            <wp:posOffset>1133475</wp:posOffset>
          </wp:positionH>
          <wp:positionV relativeFrom="paragraph">
            <wp:posOffset>50800</wp:posOffset>
          </wp:positionV>
          <wp:extent cx="5938520" cy="612140"/>
          <wp:effectExtent l="0" t="0" r="508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1EF21A" w14:textId="77777777" w:rsidR="004D7792" w:rsidRDefault="004D7792" w:rsidP="004D7792">
    <w:pPr>
      <w:pStyle w:val="Titre-ente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sz w:val="24"/>
        <w:szCs w:val="24"/>
      </w:rPr>
    </w:pPr>
  </w:p>
  <w:p w14:paraId="103AD472" w14:textId="77777777" w:rsidR="004D7792" w:rsidRDefault="004D7792" w:rsidP="004D7792">
    <w:pPr>
      <w:pStyle w:val="Titre-ente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sz w:val="24"/>
        <w:szCs w:val="24"/>
      </w:rPr>
    </w:pPr>
  </w:p>
  <w:p w14:paraId="3BF4DCC6" w14:textId="77777777" w:rsidR="004D7792" w:rsidRDefault="004D7792" w:rsidP="004D7792">
    <w:pPr>
      <w:pStyle w:val="Titre-ente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sz w:val="24"/>
        <w:szCs w:val="24"/>
      </w:rPr>
    </w:pPr>
  </w:p>
  <w:p w14:paraId="3BC67D15" w14:textId="77777777" w:rsidR="004C7215" w:rsidRPr="00044605" w:rsidRDefault="004C7215" w:rsidP="004D7792">
    <w:pPr>
      <w:pStyle w:val="Titre-ente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65.5pt;height:65.5pt" o:bullet="t">
        <v:imagedata r:id="rId1" o:title="virgule-rouge"/>
      </v:shape>
    </w:pict>
  </w:numPicBullet>
  <w:numPicBullet w:numPicBulletId="1">
    <w:pict>
      <v:shape id="_x0000_i1047" type="#_x0000_t75" style="width:65.5pt;height:65.5pt" o:bullet="t">
        <v:imagedata r:id="rId2" o:title="virgule-rouge"/>
      </v:shape>
    </w:pict>
  </w:numPicBullet>
  <w:numPicBullet w:numPicBulletId="2">
    <w:pict>
      <v:shape id="_x0000_i1048" type="#_x0000_t75" style="width:65.5pt;height:65.5pt" o:bullet="t">
        <v:imagedata r:id="rId3" o:title="virgule-rouge"/>
      </v:shape>
    </w:pict>
  </w:numPicBullet>
  <w:numPicBullet w:numPicBulletId="3">
    <w:pict>
      <v:shape id="_x0000_i1049" type="#_x0000_t75" style="width:65.5pt;height:65.5pt" o:bullet="t">
        <v:imagedata r:id="rId4" o:title="virgule-verte"/>
      </v:shape>
    </w:pict>
  </w:numPicBullet>
  <w:numPicBullet w:numPicBulletId="4">
    <w:pict>
      <v:shape id="_x0000_i1050" type="#_x0000_t75" style="width:65.5pt;height:65.5pt" o:bullet="t">
        <v:imagedata r:id="rId5" o:title="virgule-noire"/>
      </v:shape>
    </w:pict>
  </w:numPicBullet>
  <w:abstractNum w:abstractNumId="0" w15:restartNumberingAfterBreak="0">
    <w:nsid w:val="FFFFFF1D"/>
    <w:multiLevelType w:val="multilevel"/>
    <w:tmpl w:val="B5A61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91C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62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17A5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A404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D5AF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824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46D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AEA1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4C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852976"/>
    <w:multiLevelType w:val="hybridMultilevel"/>
    <w:tmpl w:val="99B42B5C"/>
    <w:lvl w:ilvl="0" w:tplc="7D301C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13B42"/>
    <w:multiLevelType w:val="hybridMultilevel"/>
    <w:tmpl w:val="745A2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D70B3"/>
    <w:multiLevelType w:val="hybridMultilevel"/>
    <w:tmpl w:val="AFA6E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D176B"/>
    <w:multiLevelType w:val="hybridMultilevel"/>
    <w:tmpl w:val="0B6A3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B65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4451CB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10DF2"/>
    <w:multiLevelType w:val="hybridMultilevel"/>
    <w:tmpl w:val="E1B8DA9C"/>
    <w:lvl w:ilvl="0" w:tplc="18FE35F8">
      <w:start w:val="1"/>
      <w:numFmt w:val="bullet"/>
      <w:pStyle w:val="Titre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D04E3"/>
    <w:multiLevelType w:val="hybridMultilevel"/>
    <w:tmpl w:val="56B268F4"/>
    <w:lvl w:ilvl="0" w:tplc="8124ADC8">
      <w:start w:val="1"/>
      <w:numFmt w:val="bullet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1" w15:restartNumberingAfterBreak="0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843429">
    <w:abstractNumId w:val="28"/>
  </w:num>
  <w:num w:numId="2" w16cid:durableId="2130539217">
    <w:abstractNumId w:val="27"/>
  </w:num>
  <w:num w:numId="3" w16cid:durableId="1402370936">
    <w:abstractNumId w:val="25"/>
  </w:num>
  <w:num w:numId="4" w16cid:durableId="1564245762">
    <w:abstractNumId w:val="24"/>
  </w:num>
  <w:num w:numId="5" w16cid:durableId="683437878">
    <w:abstractNumId w:val="30"/>
  </w:num>
  <w:num w:numId="6" w16cid:durableId="865757279">
    <w:abstractNumId w:val="9"/>
  </w:num>
  <w:num w:numId="7" w16cid:durableId="291328279">
    <w:abstractNumId w:val="4"/>
  </w:num>
  <w:num w:numId="8" w16cid:durableId="1116218542">
    <w:abstractNumId w:val="3"/>
  </w:num>
  <w:num w:numId="9" w16cid:durableId="858275458">
    <w:abstractNumId w:val="2"/>
  </w:num>
  <w:num w:numId="10" w16cid:durableId="793525512">
    <w:abstractNumId w:val="1"/>
  </w:num>
  <w:num w:numId="11" w16cid:durableId="1640106196">
    <w:abstractNumId w:val="10"/>
  </w:num>
  <w:num w:numId="12" w16cid:durableId="1287274226">
    <w:abstractNumId w:val="8"/>
  </w:num>
  <w:num w:numId="13" w16cid:durableId="1877622746">
    <w:abstractNumId w:val="7"/>
  </w:num>
  <w:num w:numId="14" w16cid:durableId="96221650">
    <w:abstractNumId w:val="6"/>
  </w:num>
  <w:num w:numId="15" w16cid:durableId="787091539">
    <w:abstractNumId w:val="5"/>
  </w:num>
  <w:num w:numId="16" w16cid:durableId="286858511">
    <w:abstractNumId w:val="0"/>
  </w:num>
  <w:num w:numId="17" w16cid:durableId="1754863096">
    <w:abstractNumId w:val="19"/>
  </w:num>
  <w:num w:numId="18" w16cid:durableId="2052729190">
    <w:abstractNumId w:val="20"/>
  </w:num>
  <w:num w:numId="19" w16cid:durableId="1799370334">
    <w:abstractNumId w:val="15"/>
  </w:num>
  <w:num w:numId="20" w16cid:durableId="1797289406">
    <w:abstractNumId w:val="23"/>
  </w:num>
  <w:num w:numId="21" w16cid:durableId="1807888382">
    <w:abstractNumId w:val="12"/>
  </w:num>
  <w:num w:numId="22" w16cid:durableId="1333526800">
    <w:abstractNumId w:val="29"/>
  </w:num>
  <w:num w:numId="23" w16cid:durableId="32195520">
    <w:abstractNumId w:val="31"/>
  </w:num>
  <w:num w:numId="24" w16cid:durableId="2044015859">
    <w:abstractNumId w:val="18"/>
  </w:num>
  <w:num w:numId="25" w16cid:durableId="1225795541">
    <w:abstractNumId w:val="26"/>
  </w:num>
  <w:num w:numId="26" w16cid:durableId="2124690893">
    <w:abstractNumId w:val="21"/>
  </w:num>
  <w:num w:numId="27" w16cid:durableId="72356483">
    <w:abstractNumId w:val="22"/>
  </w:num>
  <w:num w:numId="28" w16cid:durableId="1621644584">
    <w:abstractNumId w:val="17"/>
  </w:num>
  <w:num w:numId="29" w16cid:durableId="315182018">
    <w:abstractNumId w:val="13"/>
  </w:num>
  <w:num w:numId="30" w16cid:durableId="1272783724">
    <w:abstractNumId w:val="16"/>
  </w:num>
  <w:num w:numId="31" w16cid:durableId="1715502942">
    <w:abstractNumId w:val="11"/>
  </w:num>
  <w:num w:numId="32" w16cid:durableId="13191861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E6"/>
    <w:rsid w:val="00044605"/>
    <w:rsid w:val="0005568E"/>
    <w:rsid w:val="0007321D"/>
    <w:rsid w:val="0008582E"/>
    <w:rsid w:val="00091520"/>
    <w:rsid w:val="000B231F"/>
    <w:rsid w:val="000D1107"/>
    <w:rsid w:val="00107DFB"/>
    <w:rsid w:val="001525D5"/>
    <w:rsid w:val="00192054"/>
    <w:rsid w:val="00255C11"/>
    <w:rsid w:val="00295A51"/>
    <w:rsid w:val="002E4342"/>
    <w:rsid w:val="0032172C"/>
    <w:rsid w:val="00372EDC"/>
    <w:rsid w:val="003B21FD"/>
    <w:rsid w:val="003E0C9E"/>
    <w:rsid w:val="0040268E"/>
    <w:rsid w:val="0040390E"/>
    <w:rsid w:val="00415110"/>
    <w:rsid w:val="00487CBE"/>
    <w:rsid w:val="004C7215"/>
    <w:rsid w:val="004D7792"/>
    <w:rsid w:val="0053275B"/>
    <w:rsid w:val="00534F1B"/>
    <w:rsid w:val="00556526"/>
    <w:rsid w:val="005678B7"/>
    <w:rsid w:val="005E0785"/>
    <w:rsid w:val="005F0BD2"/>
    <w:rsid w:val="00612D48"/>
    <w:rsid w:val="00635F91"/>
    <w:rsid w:val="00660652"/>
    <w:rsid w:val="0068417A"/>
    <w:rsid w:val="006C65AF"/>
    <w:rsid w:val="006D0B3B"/>
    <w:rsid w:val="006D3DC0"/>
    <w:rsid w:val="00735AA1"/>
    <w:rsid w:val="00747445"/>
    <w:rsid w:val="007F52FB"/>
    <w:rsid w:val="008013BD"/>
    <w:rsid w:val="00895CF0"/>
    <w:rsid w:val="008D0B42"/>
    <w:rsid w:val="00934EA0"/>
    <w:rsid w:val="0096158F"/>
    <w:rsid w:val="00973B16"/>
    <w:rsid w:val="009C4DB0"/>
    <w:rsid w:val="009D494C"/>
    <w:rsid w:val="00A270BA"/>
    <w:rsid w:val="00A446B0"/>
    <w:rsid w:val="00A809A7"/>
    <w:rsid w:val="00AB34A1"/>
    <w:rsid w:val="00AD5E33"/>
    <w:rsid w:val="00AE1D90"/>
    <w:rsid w:val="00B02497"/>
    <w:rsid w:val="00B23393"/>
    <w:rsid w:val="00B47F73"/>
    <w:rsid w:val="00B7738C"/>
    <w:rsid w:val="00BA61FF"/>
    <w:rsid w:val="00BD4971"/>
    <w:rsid w:val="00C215EA"/>
    <w:rsid w:val="00C640CC"/>
    <w:rsid w:val="00CF18D6"/>
    <w:rsid w:val="00D02B31"/>
    <w:rsid w:val="00D20441"/>
    <w:rsid w:val="00EA281C"/>
    <w:rsid w:val="00EE2D76"/>
    <w:rsid w:val="00EF0C87"/>
    <w:rsid w:val="00EF752B"/>
    <w:rsid w:val="00F223E6"/>
    <w:rsid w:val="00F34C9F"/>
    <w:rsid w:val="00FC69F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B10638"/>
  <w14:defaultImageDpi w14:val="300"/>
  <w15:docId w15:val="{7F7D056B-AF56-4F2A-8C08-C360B310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D7792"/>
    <w:pPr>
      <w:keepNext/>
      <w:keepLines/>
      <w:spacing w:before="320" w:after="320"/>
      <w:jc w:val="center"/>
      <w:outlineLvl w:val="0"/>
    </w:pPr>
    <w:rPr>
      <w:rFonts w:eastAsiaTheme="majorEastAsia" w:cstheme="majorBidi"/>
      <w:b/>
      <w:color w:val="2B3583"/>
      <w:spacing w:val="5"/>
      <w:kern w:val="28"/>
      <w:sz w:val="40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4D7792"/>
    <w:rPr>
      <w:rFonts w:ascii="Arial" w:eastAsiaTheme="majorEastAsia" w:hAnsi="Arial" w:cstheme="majorBidi"/>
      <w:b/>
      <w:color w:val="2B3583"/>
      <w:spacing w:val="5"/>
      <w:kern w:val="28"/>
      <w:sz w:val="40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numPr>
        <w:numId w:val="3"/>
      </w:num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Accentuationlgr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Accentuation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lgr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ncesmedicales@cdg56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volutionpro@cdg56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elerecour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Evopro</dc:creator>
  <cp:lastModifiedBy>ARZEL Sarah</cp:lastModifiedBy>
  <cp:revision>2</cp:revision>
  <cp:lastPrinted>2014-02-26T09:46:00Z</cp:lastPrinted>
  <dcterms:created xsi:type="dcterms:W3CDTF">2025-03-31T08:55:00Z</dcterms:created>
  <dcterms:modified xsi:type="dcterms:W3CDTF">2025-03-31T08:55:00Z</dcterms:modified>
</cp:coreProperties>
</file>